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DD34B1" w14:textId="41E1F226" w:rsidR="008A547B" w:rsidRPr="00A7052D" w:rsidRDefault="00DF6397" w:rsidP="00F1030A">
      <w:pPr>
        <w:jc w:val="center"/>
        <w:rPr>
          <w:b/>
          <w:sz w:val="24"/>
          <w:szCs w:val="24"/>
          <w:lang w:val="en-US"/>
        </w:rPr>
      </w:pPr>
      <w:r w:rsidRPr="00A7052D">
        <w:rPr>
          <w:b/>
          <w:sz w:val="24"/>
          <w:szCs w:val="24"/>
          <w:lang w:val="en-US"/>
        </w:rPr>
        <w:t xml:space="preserve">Integrated Reporting Framework (IReF): </w:t>
      </w:r>
      <w:r w:rsidR="00F1030A" w:rsidRPr="00A7052D">
        <w:rPr>
          <w:b/>
          <w:sz w:val="24"/>
          <w:szCs w:val="24"/>
          <w:lang w:val="en-US"/>
        </w:rPr>
        <w:t>FAQs</w:t>
      </w:r>
    </w:p>
    <w:p w14:paraId="7B3B0FFD" w14:textId="2CEF0033" w:rsidR="00F1030A" w:rsidRPr="00A7052D" w:rsidRDefault="00F1030A" w:rsidP="00F1030A">
      <w:pPr>
        <w:jc w:val="center"/>
        <w:rPr>
          <w:sz w:val="24"/>
          <w:szCs w:val="24"/>
          <w:lang w:val="en-US"/>
        </w:rPr>
      </w:pPr>
      <w:r w:rsidRPr="00A7052D">
        <w:rPr>
          <w:sz w:val="24"/>
          <w:szCs w:val="24"/>
          <w:lang w:val="en-US"/>
        </w:rPr>
        <w:t xml:space="preserve">– </w:t>
      </w:r>
      <w:proofErr w:type="gramStart"/>
      <w:r w:rsidRPr="00A7052D">
        <w:rPr>
          <w:sz w:val="24"/>
          <w:szCs w:val="24"/>
          <w:lang w:val="en-US"/>
        </w:rPr>
        <w:t>Version</w:t>
      </w:r>
      <w:proofErr w:type="gramEnd"/>
      <w:r w:rsidRPr="00A7052D">
        <w:rPr>
          <w:sz w:val="24"/>
          <w:szCs w:val="24"/>
          <w:lang w:val="en-US"/>
        </w:rPr>
        <w:t xml:space="preserve"> </w:t>
      </w:r>
      <w:proofErr w:type="spellStart"/>
      <w:r w:rsidRPr="00A7052D">
        <w:rPr>
          <w:sz w:val="24"/>
          <w:szCs w:val="24"/>
          <w:lang w:val="en-US"/>
        </w:rPr>
        <w:t>vom</w:t>
      </w:r>
      <w:proofErr w:type="spellEnd"/>
      <w:r w:rsidRPr="00A7052D">
        <w:rPr>
          <w:sz w:val="24"/>
          <w:szCs w:val="24"/>
          <w:lang w:val="en-US"/>
        </w:rPr>
        <w:t xml:space="preserve"> </w:t>
      </w:r>
      <w:r w:rsidR="00B32740">
        <w:rPr>
          <w:sz w:val="24"/>
          <w:szCs w:val="24"/>
          <w:lang w:val="en-US"/>
        </w:rPr>
        <w:t>26.05.2026</w:t>
      </w:r>
      <w:r w:rsidRPr="00A7052D">
        <w:rPr>
          <w:sz w:val="24"/>
          <w:szCs w:val="24"/>
          <w:lang w:val="en-US"/>
        </w:rPr>
        <w:t xml:space="preserve"> –</w:t>
      </w:r>
    </w:p>
    <w:p w14:paraId="23E144C4" w14:textId="77777777" w:rsidR="00F1030A" w:rsidRPr="00A7052D" w:rsidRDefault="00F1030A" w:rsidP="00F1030A">
      <w:pPr>
        <w:rPr>
          <w:sz w:val="24"/>
          <w:szCs w:val="24"/>
          <w:lang w:val="en-US"/>
        </w:rPr>
      </w:pPr>
    </w:p>
    <w:p w14:paraId="24FFDCD7" w14:textId="26E412BD" w:rsidR="00085C2A" w:rsidRDefault="00F1030A" w:rsidP="00F1030A">
      <w:pPr>
        <w:rPr>
          <w:sz w:val="24"/>
          <w:szCs w:val="24"/>
        </w:rPr>
      </w:pPr>
      <w:r w:rsidRPr="00F1030A">
        <w:rPr>
          <w:sz w:val="24"/>
          <w:szCs w:val="24"/>
        </w:rPr>
        <w:t xml:space="preserve">In dieser Datei werden einige häufig gestellte Fragen </w:t>
      </w:r>
      <w:r>
        <w:rPr>
          <w:sz w:val="24"/>
          <w:szCs w:val="24"/>
        </w:rPr>
        <w:t>rund um das Thema IReF beantwor</w:t>
      </w:r>
      <w:r w:rsidRPr="00F1030A">
        <w:rPr>
          <w:sz w:val="24"/>
          <w:szCs w:val="24"/>
        </w:rPr>
        <w:t>tet.</w:t>
      </w:r>
      <w:r>
        <w:rPr>
          <w:sz w:val="24"/>
          <w:szCs w:val="24"/>
        </w:rPr>
        <w:t xml:space="preserve"> </w:t>
      </w:r>
      <w:r w:rsidR="005B06AA">
        <w:rPr>
          <w:sz w:val="24"/>
          <w:szCs w:val="24"/>
        </w:rPr>
        <w:t>Dabei liegt der Fokus dieser FAQs vor allem auf den</w:t>
      </w:r>
      <w:r w:rsidR="00085C2A">
        <w:rPr>
          <w:sz w:val="24"/>
          <w:szCs w:val="24"/>
        </w:rPr>
        <w:t xml:space="preserve"> Informationen zu den</w:t>
      </w:r>
      <w:r w:rsidR="005B06AA">
        <w:rPr>
          <w:sz w:val="24"/>
          <w:szCs w:val="24"/>
        </w:rPr>
        <w:t xml:space="preserve"> nationalen </w:t>
      </w:r>
      <w:r w:rsidR="00085C2A">
        <w:rPr>
          <w:sz w:val="24"/>
          <w:szCs w:val="24"/>
        </w:rPr>
        <w:t xml:space="preserve">Besonderheiten bei der Umsetzung von IReF. Für allgemeine Infos zu IReF schauen Sie bitte ebenfalls auf die </w:t>
      </w:r>
      <w:hyperlink r:id="rId8" w:anchor="IReF" w:history="1">
        <w:r w:rsidR="00085C2A">
          <w:rPr>
            <w:rStyle w:val="Hyperlink"/>
            <w:sz w:val="24"/>
            <w:szCs w:val="24"/>
          </w:rPr>
          <w:t>Homepage</w:t>
        </w:r>
        <w:r w:rsidR="00085C2A" w:rsidRPr="00085C2A">
          <w:rPr>
            <w:rStyle w:val="Hyperlink"/>
            <w:sz w:val="24"/>
            <w:szCs w:val="24"/>
          </w:rPr>
          <w:t xml:space="preserve"> der E</w:t>
        </w:r>
        <w:r w:rsidR="00085C2A" w:rsidRPr="0062682C">
          <w:rPr>
            <w:rStyle w:val="Hyperlink"/>
            <w:sz w:val="24"/>
            <w:szCs w:val="24"/>
          </w:rPr>
          <w:t>ZB</w:t>
        </w:r>
      </w:hyperlink>
      <w:r w:rsidR="00085C2A" w:rsidRPr="0062682C">
        <w:rPr>
          <w:rStyle w:val="Hyperlink"/>
          <w:sz w:val="24"/>
          <w:szCs w:val="24"/>
        </w:rPr>
        <w:t>.</w:t>
      </w:r>
      <w:r w:rsidR="00085C2A">
        <w:rPr>
          <w:sz w:val="24"/>
          <w:szCs w:val="24"/>
        </w:rPr>
        <w:t xml:space="preserve"> </w:t>
      </w:r>
    </w:p>
    <w:p w14:paraId="2BA2CE28" w14:textId="76E09B37" w:rsidR="005B06AA" w:rsidRDefault="00DF6397" w:rsidP="00F1030A">
      <w:pPr>
        <w:rPr>
          <w:sz w:val="24"/>
          <w:szCs w:val="24"/>
        </w:rPr>
      </w:pPr>
      <w:r>
        <w:rPr>
          <w:sz w:val="24"/>
          <w:szCs w:val="24"/>
        </w:rPr>
        <w:t>Beachten Sie bitte, dass die Datei regelmäßig aktualisiert wird.</w:t>
      </w:r>
      <w:r w:rsidR="005B06AA">
        <w:rPr>
          <w:sz w:val="24"/>
          <w:szCs w:val="24"/>
        </w:rPr>
        <w:t xml:space="preserve"> </w:t>
      </w:r>
    </w:p>
    <w:p w14:paraId="7138FB58" w14:textId="77777777" w:rsidR="00F1030A" w:rsidRDefault="00F1030A" w:rsidP="00F1030A">
      <w:pPr>
        <w:rPr>
          <w:sz w:val="24"/>
          <w:szCs w:val="24"/>
        </w:rPr>
      </w:pPr>
    </w:p>
    <w:p w14:paraId="0C84A6F5" w14:textId="77777777" w:rsidR="00F1030A" w:rsidRDefault="00F1030A" w:rsidP="00F1030A">
      <w:pPr>
        <w:rPr>
          <w:sz w:val="24"/>
          <w:szCs w:val="24"/>
        </w:rPr>
      </w:pPr>
    </w:p>
    <w:p w14:paraId="5805BB8D" w14:textId="3A5A56FD" w:rsidR="00F1030A" w:rsidRPr="001652B1" w:rsidRDefault="00F1030A" w:rsidP="001652B1">
      <w:pPr>
        <w:pStyle w:val="Listenabsatz"/>
        <w:numPr>
          <w:ilvl w:val="0"/>
          <w:numId w:val="19"/>
        </w:numPr>
        <w:rPr>
          <w:b/>
          <w:sz w:val="24"/>
          <w:szCs w:val="24"/>
        </w:rPr>
      </w:pPr>
      <w:r w:rsidRPr="001652B1">
        <w:rPr>
          <w:b/>
          <w:sz w:val="24"/>
          <w:szCs w:val="24"/>
        </w:rPr>
        <w:t>Zeitplan</w:t>
      </w:r>
      <w:r w:rsidR="00894C55" w:rsidRPr="001652B1">
        <w:rPr>
          <w:b/>
          <w:sz w:val="24"/>
          <w:szCs w:val="24"/>
        </w:rPr>
        <w:t xml:space="preserve"> </w:t>
      </w:r>
    </w:p>
    <w:tbl>
      <w:tblPr>
        <w:tblStyle w:val="Tabellenraster"/>
        <w:tblW w:w="0" w:type="auto"/>
        <w:tblLook w:val="04A0" w:firstRow="1" w:lastRow="0" w:firstColumn="1" w:lastColumn="0" w:noHBand="0" w:noVBand="1"/>
      </w:tblPr>
      <w:tblGrid>
        <w:gridCol w:w="846"/>
        <w:gridCol w:w="8216"/>
      </w:tblGrid>
      <w:tr w:rsidR="00BE564E" w14:paraId="5F03C677" w14:textId="77777777" w:rsidTr="001652B1">
        <w:tc>
          <w:tcPr>
            <w:tcW w:w="846" w:type="dxa"/>
            <w:shd w:val="clear" w:color="auto" w:fill="004978" w:themeFill="accent1" w:themeFillShade="BF"/>
          </w:tcPr>
          <w:p w14:paraId="6EF8F30D" w14:textId="62B5352A" w:rsidR="00BE564E" w:rsidRPr="00591D34" w:rsidRDefault="005A0961" w:rsidP="00F1030A">
            <w:pPr>
              <w:rPr>
                <w:sz w:val="24"/>
                <w:szCs w:val="24"/>
              </w:rPr>
            </w:pPr>
            <w:r>
              <w:rPr>
                <w:sz w:val="24"/>
                <w:szCs w:val="24"/>
              </w:rPr>
              <w:t xml:space="preserve">F </w:t>
            </w:r>
            <w:r w:rsidR="001652B1">
              <w:rPr>
                <w:sz w:val="24"/>
                <w:szCs w:val="24"/>
              </w:rPr>
              <w:t>1.1</w:t>
            </w:r>
          </w:p>
        </w:tc>
        <w:tc>
          <w:tcPr>
            <w:tcW w:w="8216" w:type="dxa"/>
            <w:shd w:val="clear" w:color="auto" w:fill="004978" w:themeFill="accent1" w:themeFillShade="BF"/>
          </w:tcPr>
          <w:p w14:paraId="6F1EC75A" w14:textId="77777777" w:rsidR="00044D3E" w:rsidRDefault="00044D3E" w:rsidP="00044D3E">
            <w:r w:rsidRPr="00B05064">
              <w:t xml:space="preserve">Gibt es </w:t>
            </w:r>
            <w:r>
              <w:t>einen neuen Zeitplan zur Implementierung des IReF?</w:t>
            </w:r>
            <w:r w:rsidRPr="00B05064">
              <w:t xml:space="preserve"> </w:t>
            </w:r>
          </w:p>
          <w:p w14:paraId="5F9129F7" w14:textId="68D36BDB" w:rsidR="00BE564E" w:rsidRDefault="00BE564E" w:rsidP="00F1030A">
            <w:pPr>
              <w:rPr>
                <w:sz w:val="24"/>
                <w:szCs w:val="24"/>
              </w:rPr>
            </w:pPr>
          </w:p>
        </w:tc>
      </w:tr>
      <w:tr w:rsidR="00BE564E" w:rsidRPr="00383ABE" w14:paraId="03186300" w14:textId="77777777" w:rsidTr="001652B1">
        <w:tc>
          <w:tcPr>
            <w:tcW w:w="846" w:type="dxa"/>
          </w:tcPr>
          <w:p w14:paraId="2EE1A5FD" w14:textId="77777777" w:rsidR="00BE564E" w:rsidRPr="00591D34" w:rsidRDefault="005A0961" w:rsidP="00F1030A">
            <w:pPr>
              <w:rPr>
                <w:sz w:val="24"/>
                <w:szCs w:val="24"/>
              </w:rPr>
            </w:pPr>
            <w:r>
              <w:rPr>
                <w:sz w:val="24"/>
                <w:szCs w:val="24"/>
              </w:rPr>
              <w:t>A</w:t>
            </w:r>
          </w:p>
        </w:tc>
        <w:tc>
          <w:tcPr>
            <w:tcW w:w="8216" w:type="dxa"/>
          </w:tcPr>
          <w:p w14:paraId="2C93730B" w14:textId="77777777" w:rsidR="008C0B69" w:rsidRDefault="008C0B69" w:rsidP="008C0B69">
            <w:pPr>
              <w:ind w:left="31"/>
            </w:pPr>
            <w:r w:rsidRPr="008C0B69">
              <w:t>Das Eurosystem verfolgt weiterhin das Ziel, die Meldepflichten der Banken zu reduzieren, indem es die statistischen Meldeanforderungen im Rahmen von IReF konsolidiert. </w:t>
            </w:r>
          </w:p>
          <w:p w14:paraId="6DEC2C60" w14:textId="77777777" w:rsidR="008C0B69" w:rsidRPr="008C0B69" w:rsidRDefault="008C0B69" w:rsidP="008C0B69">
            <w:pPr>
              <w:ind w:left="31"/>
            </w:pPr>
          </w:p>
          <w:p w14:paraId="3D9ABD0F" w14:textId="77777777" w:rsidR="008C0B69" w:rsidRDefault="008C0B69" w:rsidP="008C0B69">
            <w:pPr>
              <w:ind w:left="31"/>
            </w:pPr>
            <w:r w:rsidRPr="008C0B69">
              <w:t xml:space="preserve">Angesichts der aktuellen geopolitischen Entwicklungen und der langfristigen Ausrichtung von IReF prüft das Eurosystem, inwieweit der angestrebte Schritt zu einem integrierten Berichtssystem zugleich einen Beitrag zu einem technologisch </w:t>
            </w:r>
            <w:proofErr w:type="spellStart"/>
            <w:r w:rsidRPr="008C0B69">
              <w:t>souveräneren</w:t>
            </w:r>
            <w:proofErr w:type="spellEnd"/>
            <w:r w:rsidRPr="008C0B69">
              <w:t xml:space="preserve"> Europa leisten kann. Um verschiedene Optionen – insbesondere im Bereich souveräner Cloud-Hosting-Lösungen – umfassend bewerten zu können, benötigt das Eurosystem mehr Zeit als ursprünglich vorgesehen für die Implementierung von IReF.</w:t>
            </w:r>
          </w:p>
          <w:p w14:paraId="447DC7E1" w14:textId="77777777" w:rsidR="008C0B69" w:rsidRDefault="008C0B69" w:rsidP="008C0B69">
            <w:pPr>
              <w:ind w:left="31"/>
            </w:pPr>
          </w:p>
          <w:p w14:paraId="0D933BC5" w14:textId="77777777" w:rsidR="008C0B69" w:rsidRDefault="008C0B69" w:rsidP="008C0B69">
            <w:pPr>
              <w:ind w:left="31"/>
            </w:pPr>
            <w:r w:rsidRPr="008C0B69">
              <w:t>Dieser zusätzliche Zeitrahmen bedeutet, dass der detaillierte Umsetzungsplan, der für Ende 2025 in der EZB-Pressemitteilung vom Dezember 2024 angekündigt wurde, erst in der ersten Hälfte des Jahres 2026 vorliegen wird.</w:t>
            </w:r>
          </w:p>
          <w:p w14:paraId="0B5B802E" w14:textId="77777777" w:rsidR="008C0B69" w:rsidRPr="008C0B69" w:rsidRDefault="008C0B69" w:rsidP="008C0B69">
            <w:pPr>
              <w:ind w:left="31"/>
            </w:pPr>
          </w:p>
          <w:p w14:paraId="73EC689E" w14:textId="4DA6F124" w:rsidR="008C0B69" w:rsidRPr="006F6FAE" w:rsidRDefault="008C0B69" w:rsidP="008C0B69">
            <w:pPr>
              <w:ind w:left="31"/>
              <w:rPr>
                <w:lang w:val="en-US"/>
              </w:rPr>
            </w:pPr>
            <w:r>
              <w:rPr>
                <w:lang w:val="en-US"/>
              </w:rPr>
              <w:t>EZB-</w:t>
            </w:r>
            <w:r w:rsidRPr="008C0B69">
              <w:rPr>
                <w:lang w:val="en-US"/>
              </w:rPr>
              <w:t xml:space="preserve">Homepage </w:t>
            </w:r>
            <w:proofErr w:type="spellStart"/>
            <w:r w:rsidRPr="008C0B69">
              <w:rPr>
                <w:lang w:val="en-US"/>
              </w:rPr>
              <w:t>zum</w:t>
            </w:r>
            <w:proofErr w:type="spellEnd"/>
            <w:r w:rsidRPr="008C0B69">
              <w:rPr>
                <w:lang w:val="en-US"/>
              </w:rPr>
              <w:t xml:space="preserve"> </w:t>
            </w:r>
            <w:proofErr w:type="spellStart"/>
            <w:r w:rsidRPr="008C0B69">
              <w:rPr>
                <w:lang w:val="en-US"/>
              </w:rPr>
              <w:t>Bankendialog</w:t>
            </w:r>
            <w:proofErr w:type="spellEnd"/>
            <w:r w:rsidRPr="008C0B69">
              <w:rPr>
                <w:lang w:val="en-US"/>
              </w:rPr>
              <w:t>: </w:t>
            </w:r>
            <w:hyperlink r:id="rId9" w:history="1">
              <w:r w:rsidRPr="008C0B69">
                <w:rPr>
                  <w:rStyle w:val="Hyperlink"/>
                  <w:lang w:val="en-US"/>
                </w:rPr>
                <w:t>Banking industry dialogue on ESCB statistics and integrated reporting</w:t>
              </w:r>
            </w:hyperlink>
          </w:p>
          <w:p w14:paraId="2E903D5F" w14:textId="77777777" w:rsidR="006F6FAE" w:rsidRDefault="006F6FAE" w:rsidP="008C0B69">
            <w:pPr>
              <w:ind w:left="31"/>
              <w:rPr>
                <w:lang w:val="en-US"/>
              </w:rPr>
            </w:pPr>
          </w:p>
          <w:p w14:paraId="725A1F56" w14:textId="6A3289C6" w:rsidR="006F6FAE" w:rsidRDefault="006F6FAE" w:rsidP="006F6FAE">
            <w:pPr>
              <w:ind w:left="31"/>
            </w:pPr>
            <w:r w:rsidRPr="006F6FAE">
              <w:t xml:space="preserve">Am 23. April 2026 beschloss der EZB-Rat, das Integrated Reporting Framework (IReF) sowie die Analytics- und Datenprojekte von der Untersuchungsphase, die Mitte 2023 begonnen hatte, in die Realisierungsphase zu verlagern und traf die notwendigen Entscheidungen für Folgearbeiten durch die zuständigen Eurosystem/ESCB-Ausschüsse. </w:t>
            </w:r>
          </w:p>
          <w:p w14:paraId="4EC20C91" w14:textId="77777777" w:rsidR="00E57D8C" w:rsidRDefault="00E57D8C" w:rsidP="006F6FAE">
            <w:pPr>
              <w:ind w:left="31"/>
            </w:pPr>
          </w:p>
          <w:p w14:paraId="20915E8C" w14:textId="77777777" w:rsidR="00BE564E" w:rsidRPr="00670F23" w:rsidRDefault="00E57D8C" w:rsidP="0026552F">
            <w:pPr>
              <w:rPr>
                <w:lang w:val="en-US"/>
              </w:rPr>
            </w:pPr>
            <w:r w:rsidRPr="00E57D8C">
              <w:rPr>
                <w:lang w:val="en-US"/>
              </w:rPr>
              <w:t>EZ</w:t>
            </w:r>
            <w:r>
              <w:rPr>
                <w:lang w:val="en-US"/>
              </w:rPr>
              <w:t xml:space="preserve">B-Homepage: </w:t>
            </w:r>
            <w:hyperlink r:id="rId10" w:history="1">
              <w:r w:rsidRPr="00E57D8C">
                <w:rPr>
                  <w:rStyle w:val="Hyperlink"/>
                  <w:lang w:val="en-US"/>
                </w:rPr>
                <w:t>Decisions taken by the Governing Council of the ECB (in addition to decisions setting interest rates)</w:t>
              </w:r>
            </w:hyperlink>
          </w:p>
          <w:p w14:paraId="078FB5A2" w14:textId="77777777" w:rsidR="00383ABE" w:rsidRPr="00670F23" w:rsidRDefault="00383ABE" w:rsidP="0026552F">
            <w:pPr>
              <w:rPr>
                <w:lang w:val="en-US"/>
              </w:rPr>
            </w:pPr>
          </w:p>
          <w:p w14:paraId="41E19FCC" w14:textId="5C1FA03A" w:rsidR="00383ABE" w:rsidRDefault="00383ABE" w:rsidP="00383ABE">
            <w:pPr>
              <w:rPr>
                <w:sz w:val="24"/>
                <w:szCs w:val="24"/>
              </w:rPr>
            </w:pPr>
            <w:r w:rsidRPr="00670F23">
              <w:rPr>
                <w:sz w:val="24"/>
                <w:szCs w:val="24"/>
              </w:rPr>
              <w:lastRenderedPageBreak/>
              <w:t xml:space="preserve">Am 8.Juni 2026 hat die Europäische Zentralbank </w:t>
            </w:r>
            <w:r>
              <w:rPr>
                <w:sz w:val="24"/>
                <w:szCs w:val="24"/>
              </w:rPr>
              <w:t xml:space="preserve">in einer </w:t>
            </w:r>
            <w:r w:rsidRPr="00670F23">
              <w:rPr>
                <w:sz w:val="24"/>
                <w:szCs w:val="24"/>
              </w:rPr>
              <w:t>Pressenotiz wic</w:t>
            </w:r>
            <w:r>
              <w:rPr>
                <w:sz w:val="24"/>
                <w:szCs w:val="24"/>
              </w:rPr>
              <w:t xml:space="preserve">htige </w:t>
            </w:r>
            <w:r w:rsidRPr="00670F23">
              <w:rPr>
                <w:sz w:val="24"/>
                <w:szCs w:val="24"/>
              </w:rPr>
              <w:t xml:space="preserve">Meilensteine </w:t>
            </w:r>
            <w:r>
              <w:rPr>
                <w:sz w:val="24"/>
                <w:szCs w:val="24"/>
              </w:rPr>
              <w:t>der Ein</w:t>
            </w:r>
            <w:r w:rsidRPr="00670F23">
              <w:rPr>
                <w:sz w:val="24"/>
                <w:szCs w:val="24"/>
              </w:rPr>
              <w:t xml:space="preserve">führung des </w:t>
            </w:r>
            <w:r>
              <w:rPr>
                <w:sz w:val="24"/>
                <w:szCs w:val="24"/>
              </w:rPr>
              <w:t>IReF-</w:t>
            </w:r>
            <w:r w:rsidRPr="00670F23">
              <w:rPr>
                <w:sz w:val="24"/>
                <w:szCs w:val="24"/>
              </w:rPr>
              <w:t>Rahmenwerkes</w:t>
            </w:r>
            <w:r>
              <w:rPr>
                <w:sz w:val="24"/>
                <w:szCs w:val="24"/>
              </w:rPr>
              <w:t xml:space="preserve"> bekanntgegeben.</w:t>
            </w:r>
          </w:p>
          <w:p w14:paraId="7BEC27F0" w14:textId="6DA63D5A" w:rsidR="00383ABE" w:rsidRPr="00670F23" w:rsidRDefault="00383ABE" w:rsidP="00383ABE">
            <w:pPr>
              <w:rPr>
                <w:sz w:val="24"/>
                <w:szCs w:val="24"/>
                <w:lang w:val="en-US"/>
              </w:rPr>
            </w:pPr>
            <w:r w:rsidRPr="00670F23">
              <w:rPr>
                <w:sz w:val="24"/>
                <w:szCs w:val="24"/>
                <w:lang w:val="en-US"/>
              </w:rPr>
              <w:t xml:space="preserve">EZB-Homepage: </w:t>
            </w:r>
            <w:hyperlink r:id="rId11" w:history="1">
              <w:r w:rsidRPr="00670F23">
                <w:rPr>
                  <w:rStyle w:val="Hyperlink"/>
                  <w:sz w:val="24"/>
                  <w:szCs w:val="24"/>
                  <w:lang w:val="en-US"/>
                </w:rPr>
                <w:t>https://www.ecb.europa.eu/press/pr/date/2026/html/ecb.pr260608~6766ec7154.en.html</w:t>
              </w:r>
            </w:hyperlink>
          </w:p>
          <w:p w14:paraId="5C28982E" w14:textId="77777777" w:rsidR="00383ABE" w:rsidRPr="00670F23" w:rsidRDefault="00383ABE" w:rsidP="0026552F">
            <w:pPr>
              <w:rPr>
                <w:sz w:val="24"/>
                <w:szCs w:val="24"/>
                <w:lang w:val="en-US"/>
              </w:rPr>
            </w:pPr>
          </w:p>
          <w:p w14:paraId="0B6978C9" w14:textId="19E607E9" w:rsidR="00383ABE" w:rsidRDefault="00383ABE" w:rsidP="0026552F">
            <w:pPr>
              <w:rPr>
                <w:sz w:val="24"/>
                <w:szCs w:val="24"/>
              </w:rPr>
            </w:pPr>
            <w:r>
              <w:rPr>
                <w:sz w:val="24"/>
                <w:szCs w:val="24"/>
              </w:rPr>
              <w:t xml:space="preserve">Die deutsche Übersetzung ist auf der Bundesbank-Homepage unter dem nachfolgenden Link verfügbar: </w:t>
            </w:r>
          </w:p>
          <w:p w14:paraId="46914440" w14:textId="4BACD0F1" w:rsidR="00383ABE" w:rsidRDefault="00383ABE" w:rsidP="0026552F">
            <w:pPr>
              <w:rPr>
                <w:sz w:val="24"/>
                <w:szCs w:val="24"/>
              </w:rPr>
            </w:pPr>
            <w:hyperlink r:id="rId12" w:history="1">
              <w:r w:rsidRPr="00383ABE">
                <w:rPr>
                  <w:rStyle w:val="Hyperlink"/>
                  <w:sz w:val="24"/>
                  <w:szCs w:val="24"/>
                </w:rPr>
                <w:t>EZB gibt wichtige Meilensteine der Einführung des Rahmenwerkes für ein integriertes Meldewesen (Integrated Reporting Framework – IReF) bekannt | Deutsche Bundesbank</w:t>
              </w:r>
            </w:hyperlink>
          </w:p>
          <w:p w14:paraId="21A99DD3" w14:textId="11FC622A" w:rsidR="00383ABE" w:rsidRPr="00670F23" w:rsidRDefault="00383ABE" w:rsidP="0026552F">
            <w:pPr>
              <w:rPr>
                <w:sz w:val="24"/>
                <w:szCs w:val="24"/>
              </w:rPr>
            </w:pPr>
          </w:p>
        </w:tc>
      </w:tr>
    </w:tbl>
    <w:p w14:paraId="599AA514" w14:textId="77777777" w:rsidR="00F1030A" w:rsidRPr="00670F23" w:rsidRDefault="00F1030A" w:rsidP="00F1030A">
      <w:pPr>
        <w:rPr>
          <w:sz w:val="24"/>
          <w:szCs w:val="24"/>
        </w:rPr>
      </w:pPr>
    </w:p>
    <w:tbl>
      <w:tblPr>
        <w:tblStyle w:val="Tabellenraster"/>
        <w:tblW w:w="0" w:type="auto"/>
        <w:tblLook w:val="04A0" w:firstRow="1" w:lastRow="0" w:firstColumn="1" w:lastColumn="0" w:noHBand="0" w:noVBand="1"/>
      </w:tblPr>
      <w:tblGrid>
        <w:gridCol w:w="846"/>
        <w:gridCol w:w="8216"/>
      </w:tblGrid>
      <w:tr w:rsidR="005A0961" w14:paraId="3BEBC9AE" w14:textId="77777777" w:rsidTr="001652B1">
        <w:tc>
          <w:tcPr>
            <w:tcW w:w="846" w:type="dxa"/>
            <w:shd w:val="clear" w:color="auto" w:fill="004978" w:themeFill="accent1" w:themeFillShade="BF"/>
          </w:tcPr>
          <w:p w14:paraId="1CBBE54F" w14:textId="5316C0C0" w:rsidR="005A0961" w:rsidRPr="00591D34" w:rsidRDefault="001652B1" w:rsidP="00F1030A">
            <w:pPr>
              <w:rPr>
                <w:sz w:val="24"/>
                <w:szCs w:val="24"/>
              </w:rPr>
            </w:pPr>
            <w:r>
              <w:rPr>
                <w:sz w:val="24"/>
                <w:szCs w:val="24"/>
              </w:rPr>
              <w:t>F 1.2</w:t>
            </w:r>
          </w:p>
        </w:tc>
        <w:tc>
          <w:tcPr>
            <w:tcW w:w="8216" w:type="dxa"/>
            <w:shd w:val="clear" w:color="auto" w:fill="004978" w:themeFill="accent1" w:themeFillShade="BF"/>
          </w:tcPr>
          <w:p w14:paraId="6F58C789" w14:textId="77777777" w:rsidR="005A0961" w:rsidRDefault="005A0961" w:rsidP="00F1030A">
            <w:pPr>
              <w:rPr>
                <w:sz w:val="24"/>
                <w:szCs w:val="24"/>
              </w:rPr>
            </w:pPr>
            <w:r w:rsidRPr="00591D34">
              <w:rPr>
                <w:sz w:val="24"/>
                <w:szCs w:val="24"/>
              </w:rPr>
              <w:t>Wann startet die Konsultation der IReF-Verordnung? Wird das LDM zeitgleich mit dem Entwurf der IReF-Verordnung</w:t>
            </w:r>
            <w:r w:rsidR="00626623">
              <w:rPr>
                <w:sz w:val="24"/>
                <w:szCs w:val="24"/>
              </w:rPr>
              <w:t xml:space="preserve"> verteilt?</w:t>
            </w:r>
          </w:p>
        </w:tc>
      </w:tr>
      <w:tr w:rsidR="005A0961" w14:paraId="23257337" w14:textId="77777777" w:rsidTr="001652B1">
        <w:tc>
          <w:tcPr>
            <w:tcW w:w="846" w:type="dxa"/>
          </w:tcPr>
          <w:p w14:paraId="5FA4FC3D" w14:textId="77777777" w:rsidR="005A0961" w:rsidRPr="00591D34" w:rsidRDefault="005A0961" w:rsidP="00F1030A">
            <w:pPr>
              <w:rPr>
                <w:sz w:val="24"/>
                <w:szCs w:val="24"/>
              </w:rPr>
            </w:pPr>
            <w:r>
              <w:rPr>
                <w:sz w:val="24"/>
                <w:szCs w:val="24"/>
              </w:rPr>
              <w:t>A</w:t>
            </w:r>
          </w:p>
        </w:tc>
        <w:tc>
          <w:tcPr>
            <w:tcW w:w="8216" w:type="dxa"/>
          </w:tcPr>
          <w:p w14:paraId="576D9CCE" w14:textId="589C025C" w:rsidR="005A0961" w:rsidRDefault="005A0961" w:rsidP="00F1030A">
            <w:pPr>
              <w:rPr>
                <w:sz w:val="24"/>
                <w:szCs w:val="24"/>
              </w:rPr>
            </w:pPr>
            <w:r w:rsidRPr="00591D34">
              <w:rPr>
                <w:sz w:val="24"/>
                <w:szCs w:val="24"/>
              </w:rPr>
              <w:t>Die öffentliche Konsultation der Verordnung startet nach der Genehmigung des IReF-Verordnungsentwurfs durch den EZB-Rat</w:t>
            </w:r>
            <w:r w:rsidR="0063245A">
              <w:rPr>
                <w:sz w:val="24"/>
                <w:szCs w:val="24"/>
              </w:rPr>
              <w:t>.</w:t>
            </w:r>
            <w:r w:rsidRPr="00591D34">
              <w:rPr>
                <w:sz w:val="24"/>
                <w:szCs w:val="24"/>
              </w:rPr>
              <w:t xml:space="preserve"> Das LDM (logische Datenmodell) wird in die Konsultation mit einbezogen.</w:t>
            </w:r>
            <w:r w:rsidR="00D017C5">
              <w:rPr>
                <w:sz w:val="24"/>
                <w:szCs w:val="24"/>
              </w:rPr>
              <w:t xml:space="preserve"> </w:t>
            </w:r>
          </w:p>
        </w:tc>
      </w:tr>
    </w:tbl>
    <w:p w14:paraId="6EC1B96E" w14:textId="77777777" w:rsidR="00591D34" w:rsidRDefault="00591D34" w:rsidP="00F1030A">
      <w:pPr>
        <w:rPr>
          <w:sz w:val="24"/>
          <w:szCs w:val="24"/>
        </w:rPr>
      </w:pPr>
    </w:p>
    <w:p w14:paraId="46E2EED6" w14:textId="77777777" w:rsidR="00A928A1" w:rsidRDefault="00A928A1" w:rsidP="00F1030A">
      <w:pPr>
        <w:rPr>
          <w:sz w:val="24"/>
          <w:szCs w:val="24"/>
        </w:rPr>
      </w:pPr>
    </w:p>
    <w:p w14:paraId="18F3907F" w14:textId="77777777" w:rsidR="00BF3E96" w:rsidRDefault="00BF3E96" w:rsidP="00F1030A">
      <w:pPr>
        <w:rPr>
          <w:sz w:val="24"/>
          <w:szCs w:val="24"/>
        </w:rPr>
      </w:pPr>
    </w:p>
    <w:p w14:paraId="52FB2264" w14:textId="051F2263" w:rsidR="00F1030A" w:rsidRPr="001652B1" w:rsidRDefault="00F1030A" w:rsidP="001652B1">
      <w:pPr>
        <w:pStyle w:val="Listenabsatz"/>
        <w:numPr>
          <w:ilvl w:val="0"/>
          <w:numId w:val="19"/>
        </w:numPr>
        <w:rPr>
          <w:b/>
          <w:sz w:val="24"/>
          <w:szCs w:val="24"/>
        </w:rPr>
      </w:pPr>
      <w:r w:rsidRPr="001652B1">
        <w:rPr>
          <w:b/>
          <w:sz w:val="24"/>
          <w:szCs w:val="24"/>
        </w:rPr>
        <w:t>Meldeumfang</w:t>
      </w:r>
      <w:r w:rsidR="00894C55" w:rsidRPr="001652B1">
        <w:rPr>
          <w:b/>
          <w:sz w:val="24"/>
          <w:szCs w:val="24"/>
        </w:rPr>
        <w:t xml:space="preserve"> / Meldeerleichterungen</w:t>
      </w:r>
    </w:p>
    <w:tbl>
      <w:tblPr>
        <w:tblStyle w:val="Tabellenraster"/>
        <w:tblW w:w="0" w:type="auto"/>
        <w:tblLook w:val="04A0" w:firstRow="1" w:lastRow="0" w:firstColumn="1" w:lastColumn="0" w:noHBand="0" w:noVBand="1"/>
      </w:tblPr>
      <w:tblGrid>
        <w:gridCol w:w="846"/>
        <w:gridCol w:w="8216"/>
      </w:tblGrid>
      <w:tr w:rsidR="005A0961" w14:paraId="6F2D5B4E" w14:textId="77777777" w:rsidTr="001652B1">
        <w:tc>
          <w:tcPr>
            <w:tcW w:w="846" w:type="dxa"/>
            <w:shd w:val="clear" w:color="auto" w:fill="004978" w:themeFill="accent1" w:themeFillShade="BF"/>
          </w:tcPr>
          <w:p w14:paraId="07633065" w14:textId="1846F34F" w:rsidR="005A0961" w:rsidRPr="00591D34" w:rsidRDefault="001652B1" w:rsidP="00F1030A">
            <w:pPr>
              <w:rPr>
                <w:sz w:val="24"/>
                <w:szCs w:val="24"/>
              </w:rPr>
            </w:pPr>
            <w:r>
              <w:rPr>
                <w:sz w:val="24"/>
                <w:szCs w:val="24"/>
              </w:rPr>
              <w:t>F 2.1</w:t>
            </w:r>
          </w:p>
        </w:tc>
        <w:tc>
          <w:tcPr>
            <w:tcW w:w="8216" w:type="dxa"/>
            <w:shd w:val="clear" w:color="auto" w:fill="004978" w:themeFill="accent1" w:themeFillShade="BF"/>
          </w:tcPr>
          <w:p w14:paraId="034452E9" w14:textId="67625CF6" w:rsidR="005A0961" w:rsidRDefault="005A0961" w:rsidP="00F1030A">
            <w:pPr>
              <w:rPr>
                <w:sz w:val="24"/>
                <w:szCs w:val="24"/>
              </w:rPr>
            </w:pPr>
            <w:r w:rsidRPr="00591D34">
              <w:rPr>
                <w:sz w:val="24"/>
                <w:szCs w:val="24"/>
              </w:rPr>
              <w:t>Welche nationale</w:t>
            </w:r>
            <w:r w:rsidR="00044D3E">
              <w:rPr>
                <w:sz w:val="24"/>
                <w:szCs w:val="24"/>
              </w:rPr>
              <w:t>n</w:t>
            </w:r>
            <w:r w:rsidRPr="00591D34">
              <w:rPr>
                <w:sz w:val="24"/>
                <w:szCs w:val="24"/>
              </w:rPr>
              <w:t xml:space="preserve"> Vorschriften werden</w:t>
            </w:r>
            <w:r w:rsidR="00894C55">
              <w:rPr>
                <w:sz w:val="24"/>
                <w:szCs w:val="24"/>
              </w:rPr>
              <w:t xml:space="preserve"> durch IReF</w:t>
            </w:r>
            <w:r w:rsidRPr="00591D34">
              <w:rPr>
                <w:sz w:val="24"/>
                <w:szCs w:val="24"/>
              </w:rPr>
              <w:t xml:space="preserve"> ersetzt (ganz oder teilweise)?</w:t>
            </w:r>
          </w:p>
        </w:tc>
      </w:tr>
      <w:tr w:rsidR="005A0961" w14:paraId="106E61D5" w14:textId="77777777" w:rsidTr="001652B1">
        <w:tc>
          <w:tcPr>
            <w:tcW w:w="846" w:type="dxa"/>
          </w:tcPr>
          <w:p w14:paraId="3A14B50D" w14:textId="5C60461C" w:rsidR="005A0961" w:rsidRPr="00591D34" w:rsidRDefault="001652B1" w:rsidP="00591D34">
            <w:pPr>
              <w:rPr>
                <w:sz w:val="24"/>
                <w:szCs w:val="24"/>
              </w:rPr>
            </w:pPr>
            <w:r>
              <w:rPr>
                <w:sz w:val="24"/>
                <w:szCs w:val="24"/>
              </w:rPr>
              <w:t>A</w:t>
            </w:r>
          </w:p>
        </w:tc>
        <w:tc>
          <w:tcPr>
            <w:tcW w:w="8216" w:type="dxa"/>
          </w:tcPr>
          <w:p w14:paraId="47728BEA" w14:textId="3B75610A" w:rsidR="005A0961" w:rsidRDefault="005A0961" w:rsidP="001E3D68">
            <w:pPr>
              <w:rPr>
                <w:sz w:val="24"/>
                <w:szCs w:val="24"/>
              </w:rPr>
            </w:pPr>
            <w:r w:rsidRPr="00591D34">
              <w:rPr>
                <w:sz w:val="24"/>
                <w:szCs w:val="24"/>
              </w:rPr>
              <w:t>Bilanzstatistik,</w:t>
            </w:r>
            <w:r>
              <w:rPr>
                <w:sz w:val="24"/>
                <w:szCs w:val="24"/>
              </w:rPr>
              <w:t xml:space="preserve"> </w:t>
            </w:r>
            <w:r w:rsidRPr="00591D34">
              <w:rPr>
                <w:sz w:val="24"/>
                <w:szCs w:val="24"/>
              </w:rPr>
              <w:t xml:space="preserve">Zinsstatistik, </w:t>
            </w:r>
            <w:proofErr w:type="spellStart"/>
            <w:r w:rsidRPr="00591D34">
              <w:rPr>
                <w:sz w:val="24"/>
                <w:szCs w:val="24"/>
              </w:rPr>
              <w:t>AnaCredit</w:t>
            </w:r>
            <w:proofErr w:type="spellEnd"/>
            <w:r w:rsidRPr="00591D34">
              <w:rPr>
                <w:sz w:val="24"/>
                <w:szCs w:val="24"/>
              </w:rPr>
              <w:t xml:space="preserve">, </w:t>
            </w:r>
            <w:r w:rsidR="003254B7">
              <w:rPr>
                <w:sz w:val="24"/>
                <w:szCs w:val="24"/>
              </w:rPr>
              <w:t xml:space="preserve">Statistik über Wertpapierinvestments (mit Ausnahme der </w:t>
            </w:r>
            <w:r w:rsidR="0041247F">
              <w:rPr>
                <w:sz w:val="24"/>
                <w:szCs w:val="24"/>
              </w:rPr>
              <w:t>Konzernmeldungen)</w:t>
            </w:r>
            <w:r w:rsidRPr="00591D34">
              <w:rPr>
                <w:sz w:val="24"/>
                <w:szCs w:val="24"/>
              </w:rPr>
              <w:t>, Kreditnehmerst</w:t>
            </w:r>
            <w:r>
              <w:rPr>
                <w:sz w:val="24"/>
                <w:szCs w:val="24"/>
              </w:rPr>
              <w:t>atistik, Regionalstatistik</w:t>
            </w:r>
            <w:r w:rsidR="001C43A8">
              <w:rPr>
                <w:sz w:val="24"/>
                <w:szCs w:val="24"/>
              </w:rPr>
              <w:t xml:space="preserve"> und</w:t>
            </w:r>
            <w:r>
              <w:rPr>
                <w:sz w:val="24"/>
                <w:szCs w:val="24"/>
              </w:rPr>
              <w:t xml:space="preserve"> Aus</w:t>
            </w:r>
            <w:r w:rsidRPr="00591D34">
              <w:rPr>
                <w:sz w:val="24"/>
                <w:szCs w:val="24"/>
              </w:rPr>
              <w:t xml:space="preserve">landsstatus </w:t>
            </w:r>
            <w:r>
              <w:rPr>
                <w:sz w:val="24"/>
                <w:szCs w:val="24"/>
              </w:rPr>
              <w:t xml:space="preserve">werden </w:t>
            </w:r>
            <w:r w:rsidRPr="00591D34">
              <w:rPr>
                <w:sz w:val="24"/>
                <w:szCs w:val="24"/>
              </w:rPr>
              <w:t xml:space="preserve">vollständig und nach Möglichkeit ohne nationale Zusatzerhebungen in IReF integriert bzw. bereits vorher abgelöst. Die relevanten Rechtsgrundlagen </w:t>
            </w:r>
            <w:r>
              <w:rPr>
                <w:sz w:val="24"/>
                <w:szCs w:val="24"/>
              </w:rPr>
              <w:t>werden aufgehoben. Weitere Ein</w:t>
            </w:r>
            <w:r w:rsidRPr="00591D34">
              <w:rPr>
                <w:sz w:val="24"/>
                <w:szCs w:val="24"/>
              </w:rPr>
              <w:t>stellungsmöglichkeiten nationaler Statistik-Erhebungen werden vo</w:t>
            </w:r>
            <w:r w:rsidR="0081585E">
              <w:rPr>
                <w:sz w:val="24"/>
                <w:szCs w:val="24"/>
              </w:rPr>
              <w:t>n uns parallel geprüft und hän</w:t>
            </w:r>
            <w:r w:rsidRPr="00591D34">
              <w:rPr>
                <w:sz w:val="24"/>
                <w:szCs w:val="24"/>
              </w:rPr>
              <w:t>gen v.a. von den endgültigen inhaltlichen und methodischen Überschneidungen mit IReF ab</w:t>
            </w:r>
            <w:r>
              <w:rPr>
                <w:sz w:val="24"/>
                <w:szCs w:val="24"/>
              </w:rPr>
              <w:t>.</w:t>
            </w:r>
          </w:p>
        </w:tc>
      </w:tr>
    </w:tbl>
    <w:p w14:paraId="75ABE957" w14:textId="77777777" w:rsidR="00591D34" w:rsidRDefault="00591D34" w:rsidP="00F1030A">
      <w:pPr>
        <w:rPr>
          <w:sz w:val="24"/>
          <w:szCs w:val="24"/>
        </w:rPr>
      </w:pPr>
    </w:p>
    <w:tbl>
      <w:tblPr>
        <w:tblStyle w:val="Tabellenraster"/>
        <w:tblW w:w="9067" w:type="dxa"/>
        <w:tblLook w:val="04A0" w:firstRow="1" w:lastRow="0" w:firstColumn="1" w:lastColumn="0" w:noHBand="0" w:noVBand="1"/>
      </w:tblPr>
      <w:tblGrid>
        <w:gridCol w:w="846"/>
        <w:gridCol w:w="8221"/>
      </w:tblGrid>
      <w:tr w:rsidR="00EF1EC2" w14:paraId="4D9C2BD7" w14:textId="77777777" w:rsidTr="001652B1">
        <w:tc>
          <w:tcPr>
            <w:tcW w:w="846" w:type="dxa"/>
            <w:shd w:val="clear" w:color="auto" w:fill="004978" w:themeFill="accent1" w:themeFillShade="BF"/>
          </w:tcPr>
          <w:p w14:paraId="73FC4F4A" w14:textId="1DDF7F9A" w:rsidR="00EF1EC2" w:rsidRPr="00591D34" w:rsidRDefault="001652B1">
            <w:pPr>
              <w:rPr>
                <w:sz w:val="24"/>
                <w:szCs w:val="24"/>
              </w:rPr>
            </w:pPr>
            <w:r>
              <w:rPr>
                <w:sz w:val="24"/>
                <w:szCs w:val="24"/>
              </w:rPr>
              <w:t>F 2.2</w:t>
            </w:r>
          </w:p>
        </w:tc>
        <w:tc>
          <w:tcPr>
            <w:tcW w:w="8221" w:type="dxa"/>
            <w:shd w:val="clear" w:color="auto" w:fill="004978" w:themeFill="accent1" w:themeFillShade="BF"/>
          </w:tcPr>
          <w:p w14:paraId="317AC31E" w14:textId="77777777" w:rsidR="00EF1EC2" w:rsidRDefault="00EF1EC2">
            <w:pPr>
              <w:rPr>
                <w:sz w:val="24"/>
                <w:szCs w:val="24"/>
              </w:rPr>
            </w:pPr>
            <w:r w:rsidRPr="001A4B4F">
              <w:rPr>
                <w:sz w:val="24"/>
                <w:szCs w:val="24"/>
              </w:rPr>
              <w:t>Sind die Geldmarkt- und Zahlungsverkehrsstatis</w:t>
            </w:r>
            <w:r>
              <w:rPr>
                <w:sz w:val="24"/>
                <w:szCs w:val="24"/>
              </w:rPr>
              <w:t>tik auch im Umfang von IReF ent</w:t>
            </w:r>
            <w:r w:rsidRPr="001A4B4F">
              <w:rPr>
                <w:sz w:val="24"/>
                <w:szCs w:val="24"/>
              </w:rPr>
              <w:t>halten?</w:t>
            </w:r>
          </w:p>
        </w:tc>
      </w:tr>
      <w:tr w:rsidR="00EF1EC2" w14:paraId="68CC87D2" w14:textId="77777777" w:rsidTr="001652B1">
        <w:tc>
          <w:tcPr>
            <w:tcW w:w="846" w:type="dxa"/>
          </w:tcPr>
          <w:p w14:paraId="7B4ABE0E" w14:textId="746E8A91" w:rsidR="00EF1EC2" w:rsidRPr="00591D34" w:rsidRDefault="001652B1">
            <w:pPr>
              <w:rPr>
                <w:sz w:val="24"/>
                <w:szCs w:val="24"/>
              </w:rPr>
            </w:pPr>
            <w:r>
              <w:rPr>
                <w:sz w:val="24"/>
                <w:szCs w:val="24"/>
              </w:rPr>
              <w:t>A</w:t>
            </w:r>
          </w:p>
        </w:tc>
        <w:tc>
          <w:tcPr>
            <w:tcW w:w="8221" w:type="dxa"/>
          </w:tcPr>
          <w:p w14:paraId="7D6A0EF3" w14:textId="77777777" w:rsidR="00EF1EC2" w:rsidRDefault="00EF1EC2">
            <w:pPr>
              <w:rPr>
                <w:sz w:val="24"/>
                <w:szCs w:val="24"/>
              </w:rPr>
            </w:pPr>
            <w:r w:rsidRPr="001A4B4F">
              <w:rPr>
                <w:sz w:val="24"/>
                <w:szCs w:val="24"/>
              </w:rPr>
              <w:t>Nein, IReF umfasst nicht die Geldmarkt- und Zahlungsverkehrsstatistik.</w:t>
            </w:r>
          </w:p>
        </w:tc>
      </w:tr>
    </w:tbl>
    <w:p w14:paraId="098373C3" w14:textId="77777777" w:rsidR="00EF1EC2" w:rsidRDefault="00EF1EC2" w:rsidP="00EF1EC2">
      <w:pPr>
        <w:rPr>
          <w:sz w:val="24"/>
          <w:szCs w:val="24"/>
        </w:rPr>
      </w:pPr>
    </w:p>
    <w:tbl>
      <w:tblPr>
        <w:tblStyle w:val="Tabellenraster"/>
        <w:tblW w:w="0" w:type="auto"/>
        <w:tblLook w:val="04A0" w:firstRow="1" w:lastRow="0" w:firstColumn="1" w:lastColumn="0" w:noHBand="0" w:noVBand="1"/>
      </w:tblPr>
      <w:tblGrid>
        <w:gridCol w:w="846"/>
        <w:gridCol w:w="8216"/>
      </w:tblGrid>
      <w:tr w:rsidR="005A0961" w14:paraId="58B9727B" w14:textId="77777777" w:rsidTr="001652B1">
        <w:tc>
          <w:tcPr>
            <w:tcW w:w="846" w:type="dxa"/>
            <w:shd w:val="clear" w:color="auto" w:fill="004978" w:themeFill="accent1" w:themeFillShade="BF"/>
          </w:tcPr>
          <w:p w14:paraId="12FCA59B" w14:textId="10609417" w:rsidR="005A0961" w:rsidRPr="00591D34" w:rsidRDefault="001652B1" w:rsidP="00F1030A">
            <w:pPr>
              <w:rPr>
                <w:sz w:val="24"/>
                <w:szCs w:val="24"/>
              </w:rPr>
            </w:pPr>
            <w:r>
              <w:rPr>
                <w:sz w:val="24"/>
                <w:szCs w:val="24"/>
              </w:rPr>
              <w:t>F 2.3</w:t>
            </w:r>
          </w:p>
        </w:tc>
        <w:tc>
          <w:tcPr>
            <w:tcW w:w="8216" w:type="dxa"/>
            <w:shd w:val="clear" w:color="auto" w:fill="004978" w:themeFill="accent1" w:themeFillShade="BF"/>
          </w:tcPr>
          <w:p w14:paraId="0169F3C5" w14:textId="77777777" w:rsidR="005A0961" w:rsidRDefault="005A0961" w:rsidP="00F1030A">
            <w:pPr>
              <w:rPr>
                <w:sz w:val="24"/>
                <w:szCs w:val="24"/>
              </w:rPr>
            </w:pPr>
            <w:r w:rsidRPr="00591D34">
              <w:rPr>
                <w:sz w:val="24"/>
                <w:szCs w:val="24"/>
              </w:rPr>
              <w:t xml:space="preserve">Wird das IReF Meldeschema im Lichte des </w:t>
            </w:r>
            <w:proofErr w:type="spellStart"/>
            <w:r w:rsidRPr="00591D34">
              <w:rPr>
                <w:sz w:val="24"/>
                <w:szCs w:val="24"/>
              </w:rPr>
              <w:t>cCBAs</w:t>
            </w:r>
            <w:proofErr w:type="spellEnd"/>
            <w:r w:rsidRPr="00591D34">
              <w:rPr>
                <w:sz w:val="24"/>
                <w:szCs w:val="24"/>
              </w:rPr>
              <w:t xml:space="preserve"> aktualisiert?</w:t>
            </w:r>
          </w:p>
        </w:tc>
      </w:tr>
      <w:tr w:rsidR="005A0961" w14:paraId="37A96B54" w14:textId="77777777" w:rsidTr="001652B1">
        <w:tc>
          <w:tcPr>
            <w:tcW w:w="846" w:type="dxa"/>
          </w:tcPr>
          <w:p w14:paraId="5D69AF13" w14:textId="4FC6DA2E" w:rsidR="005A0961" w:rsidRPr="00591D34" w:rsidRDefault="001652B1" w:rsidP="0052472D">
            <w:pPr>
              <w:rPr>
                <w:sz w:val="24"/>
                <w:szCs w:val="24"/>
              </w:rPr>
            </w:pPr>
            <w:r>
              <w:rPr>
                <w:sz w:val="24"/>
                <w:szCs w:val="24"/>
              </w:rPr>
              <w:lastRenderedPageBreak/>
              <w:t>A</w:t>
            </w:r>
          </w:p>
        </w:tc>
        <w:tc>
          <w:tcPr>
            <w:tcW w:w="8216" w:type="dxa"/>
          </w:tcPr>
          <w:p w14:paraId="3A6E61C4" w14:textId="5D2F7631" w:rsidR="00081F5E" w:rsidRDefault="005A0961" w:rsidP="0041247F">
            <w:pPr>
              <w:rPr>
                <w:sz w:val="24"/>
                <w:szCs w:val="24"/>
              </w:rPr>
            </w:pPr>
            <w:r w:rsidRPr="00591D34">
              <w:rPr>
                <w:sz w:val="24"/>
                <w:szCs w:val="24"/>
              </w:rPr>
              <w:t xml:space="preserve">Ja, das IReF-Meldeschema wird aktuell </w:t>
            </w:r>
            <w:r w:rsidR="006501D3">
              <w:rPr>
                <w:sz w:val="24"/>
                <w:szCs w:val="24"/>
              </w:rPr>
              <w:t>über</w:t>
            </w:r>
            <w:r w:rsidR="006501D3" w:rsidRPr="00591D34">
              <w:rPr>
                <w:sz w:val="24"/>
                <w:szCs w:val="24"/>
              </w:rPr>
              <w:t>prüft</w:t>
            </w:r>
            <w:r w:rsidRPr="00591D34">
              <w:rPr>
                <w:sz w:val="24"/>
                <w:szCs w:val="24"/>
              </w:rPr>
              <w:t xml:space="preserve">, die Ergebnisse des </w:t>
            </w:r>
            <w:proofErr w:type="spellStart"/>
            <w:r w:rsidRPr="00591D34">
              <w:rPr>
                <w:sz w:val="24"/>
                <w:szCs w:val="24"/>
              </w:rPr>
              <w:t>cCBAs</w:t>
            </w:r>
            <w:proofErr w:type="spellEnd"/>
            <w:r w:rsidRPr="00591D34">
              <w:rPr>
                <w:sz w:val="24"/>
                <w:szCs w:val="24"/>
              </w:rPr>
              <w:t xml:space="preserve"> fließen hier mit ein.</w:t>
            </w:r>
            <w:r>
              <w:rPr>
                <w:sz w:val="24"/>
                <w:szCs w:val="24"/>
              </w:rPr>
              <w:t xml:space="preserve"> Darüber hinaus </w:t>
            </w:r>
            <w:r w:rsidR="006501D3">
              <w:rPr>
                <w:sz w:val="24"/>
                <w:szCs w:val="24"/>
              </w:rPr>
              <w:t xml:space="preserve">werden </w:t>
            </w:r>
            <w:r>
              <w:rPr>
                <w:sz w:val="24"/>
                <w:szCs w:val="24"/>
              </w:rPr>
              <w:t xml:space="preserve">die Ergebnisse des CBAs und </w:t>
            </w:r>
            <w:proofErr w:type="spellStart"/>
            <w:r>
              <w:rPr>
                <w:sz w:val="24"/>
                <w:szCs w:val="24"/>
              </w:rPr>
              <w:t>cCBAs</w:t>
            </w:r>
            <w:proofErr w:type="spellEnd"/>
            <w:r>
              <w:rPr>
                <w:sz w:val="24"/>
                <w:szCs w:val="24"/>
              </w:rPr>
              <w:t xml:space="preserve"> auch </w:t>
            </w:r>
            <w:r w:rsidR="006501D3">
              <w:rPr>
                <w:sz w:val="24"/>
                <w:szCs w:val="24"/>
              </w:rPr>
              <w:t>bei der</w:t>
            </w:r>
            <w:r w:rsidR="001E3D68">
              <w:rPr>
                <w:sz w:val="24"/>
                <w:szCs w:val="24"/>
              </w:rPr>
              <w:t xml:space="preserve"> </w:t>
            </w:r>
            <w:r>
              <w:rPr>
                <w:sz w:val="24"/>
                <w:szCs w:val="24"/>
              </w:rPr>
              <w:t xml:space="preserve">Verordnung </w:t>
            </w:r>
            <w:r w:rsidR="006501D3">
              <w:rPr>
                <w:sz w:val="24"/>
                <w:szCs w:val="24"/>
              </w:rPr>
              <w:t>berücksichtigt</w:t>
            </w:r>
            <w:r>
              <w:rPr>
                <w:sz w:val="24"/>
                <w:szCs w:val="24"/>
              </w:rPr>
              <w:t xml:space="preserve">. </w:t>
            </w:r>
            <w:r w:rsidR="00081F5E" w:rsidRPr="00081F5E">
              <w:rPr>
                <w:sz w:val="24"/>
                <w:szCs w:val="24"/>
              </w:rPr>
              <w:t xml:space="preserve">Themen, die unter Berücksichtigung aller Interessengruppen sowie zusätzlicher qualitativer Rückmeldungen aus dem Bankensektor </w:t>
            </w:r>
            <w:r w:rsidR="00081F5E">
              <w:rPr>
                <w:sz w:val="24"/>
                <w:szCs w:val="24"/>
              </w:rPr>
              <w:t xml:space="preserve">und </w:t>
            </w:r>
            <w:r w:rsidR="00081F5E" w:rsidRPr="00081F5E">
              <w:rPr>
                <w:sz w:val="24"/>
                <w:szCs w:val="24"/>
              </w:rPr>
              <w:t>nach Abwägung von Kosten und Nutzen keine Unterstützung erhalten haben, werden nicht in die IReF-Verordnung aufgenommen.</w:t>
            </w:r>
          </w:p>
        </w:tc>
      </w:tr>
    </w:tbl>
    <w:p w14:paraId="79874829" w14:textId="77777777" w:rsidR="00591D34" w:rsidRDefault="00591D34" w:rsidP="00F1030A">
      <w:pPr>
        <w:rPr>
          <w:sz w:val="24"/>
          <w:szCs w:val="24"/>
        </w:rPr>
      </w:pPr>
    </w:p>
    <w:tbl>
      <w:tblPr>
        <w:tblStyle w:val="Tabellenraster"/>
        <w:tblW w:w="0" w:type="auto"/>
        <w:tblLook w:val="04A0" w:firstRow="1" w:lastRow="0" w:firstColumn="1" w:lastColumn="0" w:noHBand="0" w:noVBand="1"/>
      </w:tblPr>
      <w:tblGrid>
        <w:gridCol w:w="846"/>
        <w:gridCol w:w="8216"/>
      </w:tblGrid>
      <w:tr w:rsidR="005A0961" w14:paraId="5B398CA7" w14:textId="77777777" w:rsidTr="001652B1">
        <w:tc>
          <w:tcPr>
            <w:tcW w:w="846" w:type="dxa"/>
            <w:shd w:val="clear" w:color="auto" w:fill="004978" w:themeFill="accent1" w:themeFillShade="BF"/>
          </w:tcPr>
          <w:p w14:paraId="55E83425" w14:textId="576774AB" w:rsidR="005A0961" w:rsidRDefault="001652B1" w:rsidP="00F1030A">
            <w:pPr>
              <w:rPr>
                <w:sz w:val="24"/>
                <w:szCs w:val="24"/>
              </w:rPr>
            </w:pPr>
            <w:r>
              <w:rPr>
                <w:sz w:val="24"/>
                <w:szCs w:val="24"/>
              </w:rPr>
              <w:t>F 2.4</w:t>
            </w:r>
          </w:p>
        </w:tc>
        <w:tc>
          <w:tcPr>
            <w:tcW w:w="8216" w:type="dxa"/>
            <w:shd w:val="clear" w:color="auto" w:fill="004978" w:themeFill="accent1" w:themeFillShade="BF"/>
          </w:tcPr>
          <w:p w14:paraId="482554F8" w14:textId="77777777" w:rsidR="005A0961" w:rsidRDefault="005A0961" w:rsidP="00F1030A">
            <w:pPr>
              <w:rPr>
                <w:sz w:val="24"/>
                <w:szCs w:val="24"/>
              </w:rPr>
            </w:pPr>
            <w:r>
              <w:rPr>
                <w:sz w:val="24"/>
                <w:szCs w:val="24"/>
              </w:rPr>
              <w:t>Werden die aufsichtlichen und abwicklungsbezogenen Meldeanforderungen in IReF integriert?</w:t>
            </w:r>
          </w:p>
        </w:tc>
      </w:tr>
      <w:tr w:rsidR="005A0961" w14:paraId="1E44580B" w14:textId="77777777" w:rsidTr="001652B1">
        <w:tc>
          <w:tcPr>
            <w:tcW w:w="846" w:type="dxa"/>
          </w:tcPr>
          <w:p w14:paraId="49D5C559" w14:textId="1AACFA25" w:rsidR="005A0961" w:rsidRDefault="001652B1" w:rsidP="00F1030A">
            <w:pPr>
              <w:rPr>
                <w:sz w:val="24"/>
                <w:szCs w:val="24"/>
              </w:rPr>
            </w:pPr>
            <w:r>
              <w:rPr>
                <w:sz w:val="24"/>
                <w:szCs w:val="24"/>
              </w:rPr>
              <w:t>A</w:t>
            </w:r>
          </w:p>
        </w:tc>
        <w:tc>
          <w:tcPr>
            <w:tcW w:w="8216" w:type="dxa"/>
          </w:tcPr>
          <w:p w14:paraId="1041332B" w14:textId="05719A82" w:rsidR="00104B72" w:rsidRDefault="006501D3" w:rsidP="00104B72">
            <w:pPr>
              <w:rPr>
                <w:sz w:val="24"/>
                <w:szCs w:val="24"/>
              </w:rPr>
            </w:pPr>
            <w:r>
              <w:rPr>
                <w:sz w:val="24"/>
                <w:szCs w:val="24"/>
              </w:rPr>
              <w:t>Das STC unterstützt die langfristige Integration des Bankenm</w:t>
            </w:r>
            <w:r w:rsidR="005A0961" w:rsidRPr="00BF3E96">
              <w:rPr>
                <w:sz w:val="24"/>
                <w:szCs w:val="24"/>
              </w:rPr>
              <w:t>eldewesen</w:t>
            </w:r>
            <w:r>
              <w:rPr>
                <w:sz w:val="24"/>
                <w:szCs w:val="24"/>
              </w:rPr>
              <w:t>s im Bereich der</w:t>
            </w:r>
            <w:r w:rsidR="005A0961" w:rsidRPr="00BF3E96">
              <w:rPr>
                <w:sz w:val="24"/>
                <w:szCs w:val="24"/>
              </w:rPr>
              <w:t xml:space="preserve"> </w:t>
            </w:r>
            <w:r w:rsidR="005A0961">
              <w:rPr>
                <w:sz w:val="24"/>
                <w:szCs w:val="24"/>
              </w:rPr>
              <w:t>Statistik, Aufsicht und Abwick</w:t>
            </w:r>
            <w:r w:rsidR="005A0961" w:rsidRPr="00BF3E96">
              <w:rPr>
                <w:sz w:val="24"/>
                <w:szCs w:val="24"/>
              </w:rPr>
              <w:t xml:space="preserve">lung. Dieses Ziel lässt sich nach Überzeugung des STC </w:t>
            </w:r>
            <w:r w:rsidR="005A0961">
              <w:rPr>
                <w:sz w:val="24"/>
                <w:szCs w:val="24"/>
              </w:rPr>
              <w:t xml:space="preserve">allerdings </w:t>
            </w:r>
            <w:r w:rsidR="005A0961" w:rsidRPr="00BF3E96">
              <w:rPr>
                <w:sz w:val="24"/>
                <w:szCs w:val="24"/>
              </w:rPr>
              <w:t>nicht in einem „Big Bang“, sondern nur durch eine Weiterentwicklung bestehender Praxis err</w:t>
            </w:r>
            <w:r w:rsidR="005A0961">
              <w:rPr>
                <w:sz w:val="24"/>
                <w:szCs w:val="24"/>
              </w:rPr>
              <w:t>eichen. Wir sehen das statisti</w:t>
            </w:r>
            <w:r w:rsidR="005A0961" w:rsidRPr="00BF3E96">
              <w:rPr>
                <w:sz w:val="24"/>
                <w:szCs w:val="24"/>
              </w:rPr>
              <w:t xml:space="preserve">sche IReF als ersten Schritt in diesem Prozess. Dafür spricht die langjährige Erfahrung des ESZB mit der Erhebung, Qualitätssicherung und Bereitstellung granularer Daten im paneuropäischen Netzwerk. Die Bundesbank unterstützt den Prozess </w:t>
            </w:r>
            <w:r w:rsidR="00D017C5">
              <w:rPr>
                <w:sz w:val="24"/>
                <w:szCs w:val="24"/>
              </w:rPr>
              <w:t xml:space="preserve">der Datenintegration </w:t>
            </w:r>
            <w:r w:rsidR="005A0961" w:rsidRPr="00BF3E96">
              <w:rPr>
                <w:sz w:val="24"/>
                <w:szCs w:val="24"/>
              </w:rPr>
              <w:t xml:space="preserve">durch aktive Mitgestaltung im STC und dem neuen Joint Bank Reporting Committee (JBRC). Das JBRC </w:t>
            </w:r>
            <w:r w:rsidR="00C14576">
              <w:rPr>
                <w:sz w:val="24"/>
                <w:szCs w:val="24"/>
              </w:rPr>
              <w:t xml:space="preserve">bindet die Banken über eine </w:t>
            </w:r>
            <w:r w:rsidR="005A0961" w:rsidRPr="00BF3E96">
              <w:rPr>
                <w:sz w:val="24"/>
                <w:szCs w:val="24"/>
              </w:rPr>
              <w:t xml:space="preserve">Reporting Contact Group </w:t>
            </w:r>
            <w:r w:rsidR="00C14576">
              <w:rPr>
                <w:sz w:val="24"/>
                <w:szCs w:val="24"/>
              </w:rPr>
              <w:t xml:space="preserve">(RCG) </w:t>
            </w:r>
            <w:r w:rsidR="005A0961" w:rsidRPr="00BF3E96">
              <w:rPr>
                <w:sz w:val="24"/>
                <w:szCs w:val="24"/>
              </w:rPr>
              <w:t>eng ein</w:t>
            </w:r>
            <w:r w:rsidR="00734947">
              <w:rPr>
                <w:sz w:val="24"/>
                <w:szCs w:val="24"/>
              </w:rPr>
              <w:t xml:space="preserve"> und hat eine </w:t>
            </w:r>
            <w:r w:rsidR="00734947" w:rsidRPr="00734947">
              <w:rPr>
                <w:sz w:val="24"/>
                <w:szCs w:val="24"/>
              </w:rPr>
              <w:t>Expertengruppe für semantische Integration</w:t>
            </w:r>
            <w:r w:rsidR="00734947">
              <w:rPr>
                <w:sz w:val="24"/>
                <w:szCs w:val="24"/>
              </w:rPr>
              <w:t xml:space="preserve"> (EG S</w:t>
            </w:r>
            <w:r w:rsidR="00F20727">
              <w:rPr>
                <w:sz w:val="24"/>
                <w:szCs w:val="24"/>
              </w:rPr>
              <w:t>INT</w:t>
            </w:r>
            <w:r w:rsidR="00734947">
              <w:rPr>
                <w:sz w:val="24"/>
                <w:szCs w:val="24"/>
              </w:rPr>
              <w:t>)</w:t>
            </w:r>
            <w:r w:rsidR="00734947" w:rsidRPr="00734947">
              <w:rPr>
                <w:sz w:val="24"/>
                <w:szCs w:val="24"/>
              </w:rPr>
              <w:t xml:space="preserve"> eingerichtet</w:t>
            </w:r>
            <w:r w:rsidR="00F20727">
              <w:rPr>
                <w:sz w:val="24"/>
                <w:szCs w:val="24"/>
              </w:rPr>
              <w:t xml:space="preserve"> mit dem Auftrag, </w:t>
            </w:r>
            <w:r w:rsidR="00F20727" w:rsidRPr="00F20727">
              <w:rPr>
                <w:sz w:val="24"/>
                <w:szCs w:val="24"/>
              </w:rPr>
              <w:t>die europäischen Aufsichts- und Abwicklungsanforderungen semantisch mit den statistischen Meldeanforderungen des ESZB zu harmonisieren.</w:t>
            </w:r>
            <w:r w:rsidR="00734947">
              <w:rPr>
                <w:sz w:val="24"/>
                <w:szCs w:val="24"/>
              </w:rPr>
              <w:t xml:space="preserve"> Unter dem nachfolgenden Link auf der EZB-Hom</w:t>
            </w:r>
            <w:r w:rsidR="00104B72">
              <w:rPr>
                <w:sz w:val="24"/>
                <w:szCs w:val="24"/>
              </w:rPr>
              <w:t>e</w:t>
            </w:r>
            <w:r w:rsidR="00734947">
              <w:rPr>
                <w:sz w:val="24"/>
                <w:szCs w:val="24"/>
              </w:rPr>
              <w:t>page ist ein erste</w:t>
            </w:r>
            <w:r w:rsidR="00F20727">
              <w:rPr>
                <w:sz w:val="24"/>
                <w:szCs w:val="24"/>
              </w:rPr>
              <w:t xml:space="preserve">r Satz von </w:t>
            </w:r>
            <w:r w:rsidR="00104B72">
              <w:rPr>
                <w:sz w:val="24"/>
                <w:szCs w:val="24"/>
              </w:rPr>
              <w:t>Empfehlungen auf Basis der Offenlegung</w:t>
            </w:r>
            <w:r w:rsidR="00C14576">
              <w:rPr>
                <w:sz w:val="24"/>
                <w:szCs w:val="24"/>
              </w:rPr>
              <w:t xml:space="preserve">spflichten </w:t>
            </w:r>
            <w:r w:rsidR="00F20727" w:rsidRPr="00F20727">
              <w:rPr>
                <w:sz w:val="24"/>
                <w:szCs w:val="24"/>
              </w:rPr>
              <w:t xml:space="preserve">zu Umwelt, Sozialem und Unternehmensführung (Environmental, </w:t>
            </w:r>
            <w:proofErr w:type="spellStart"/>
            <w:r w:rsidR="00F20727" w:rsidRPr="00F20727">
              <w:rPr>
                <w:sz w:val="24"/>
                <w:szCs w:val="24"/>
              </w:rPr>
              <w:t>Social</w:t>
            </w:r>
            <w:proofErr w:type="spellEnd"/>
            <w:r w:rsidR="00F20727" w:rsidRPr="00F20727">
              <w:rPr>
                <w:sz w:val="24"/>
                <w:szCs w:val="24"/>
              </w:rPr>
              <w:t xml:space="preserve"> and </w:t>
            </w:r>
            <w:proofErr w:type="spellStart"/>
            <w:r w:rsidR="00F20727" w:rsidRPr="00F20727">
              <w:rPr>
                <w:sz w:val="24"/>
                <w:szCs w:val="24"/>
              </w:rPr>
              <w:t>Governance</w:t>
            </w:r>
            <w:proofErr w:type="spellEnd"/>
            <w:r w:rsidR="00F20727" w:rsidRPr="00F20727">
              <w:rPr>
                <w:sz w:val="24"/>
                <w:szCs w:val="24"/>
              </w:rPr>
              <w:t>, ESG) </w:t>
            </w:r>
            <w:r w:rsidR="00F20727">
              <w:rPr>
                <w:sz w:val="24"/>
                <w:szCs w:val="24"/>
              </w:rPr>
              <w:t xml:space="preserve">gemäß </w:t>
            </w:r>
            <w:r w:rsidR="00C14576">
              <w:rPr>
                <w:sz w:val="24"/>
                <w:szCs w:val="24"/>
              </w:rPr>
              <w:t>Säule 3</w:t>
            </w:r>
            <w:r w:rsidR="00F20727">
              <w:rPr>
                <w:sz w:val="24"/>
                <w:szCs w:val="24"/>
              </w:rPr>
              <w:t xml:space="preserve"> verfügbar</w:t>
            </w:r>
            <w:r w:rsidR="00745601">
              <w:rPr>
                <w:sz w:val="24"/>
                <w:szCs w:val="24"/>
              </w:rPr>
              <w:t xml:space="preserve">, die auch für die </w:t>
            </w:r>
            <w:r w:rsidR="00A72331">
              <w:rPr>
                <w:sz w:val="24"/>
                <w:szCs w:val="24"/>
              </w:rPr>
              <w:t xml:space="preserve">Entwicklung der </w:t>
            </w:r>
            <w:r w:rsidR="00745601">
              <w:rPr>
                <w:sz w:val="24"/>
                <w:szCs w:val="24"/>
              </w:rPr>
              <w:t>ESG-Berichtsanforderungen relevant sein werden:</w:t>
            </w:r>
            <w:r w:rsidR="00104B72">
              <w:rPr>
                <w:sz w:val="24"/>
                <w:szCs w:val="24"/>
              </w:rPr>
              <w:t xml:space="preserve"> </w:t>
            </w:r>
          </w:p>
          <w:p w14:paraId="5E1EC090" w14:textId="21C15B9F" w:rsidR="00104B72" w:rsidRPr="00A72331" w:rsidRDefault="00104B72" w:rsidP="00104B72">
            <w:pPr>
              <w:rPr>
                <w:sz w:val="24"/>
                <w:szCs w:val="24"/>
                <w:lang w:val="en-US"/>
              </w:rPr>
            </w:pPr>
            <w:hyperlink r:id="rId13" w:history="1">
              <w:r w:rsidRPr="00C14576">
                <w:rPr>
                  <w:rStyle w:val="Hyperlink"/>
                  <w:sz w:val="24"/>
                  <w:szCs w:val="24"/>
                  <w:lang w:val="en-US"/>
                </w:rPr>
                <w:t>JBRC recommendations on the semantic integration of ESG Pillar 3 disclosures</w:t>
              </w:r>
            </w:hyperlink>
          </w:p>
          <w:p w14:paraId="2900C9A4" w14:textId="5EFD4C38" w:rsidR="00734947" w:rsidRDefault="00104B72" w:rsidP="00104B72">
            <w:pPr>
              <w:rPr>
                <w:sz w:val="24"/>
                <w:szCs w:val="24"/>
              </w:rPr>
            </w:pPr>
            <w:r>
              <w:rPr>
                <w:sz w:val="24"/>
                <w:szCs w:val="24"/>
              </w:rPr>
              <w:t xml:space="preserve">Weitere </w:t>
            </w:r>
            <w:r w:rsidRPr="00104B72">
              <w:rPr>
                <w:sz w:val="24"/>
                <w:szCs w:val="24"/>
              </w:rPr>
              <w:t xml:space="preserve">Empfehlungen im Zusammenhang mit IReF, </w:t>
            </w:r>
            <w:proofErr w:type="spellStart"/>
            <w:r w:rsidRPr="00104B72">
              <w:rPr>
                <w:sz w:val="24"/>
                <w:szCs w:val="24"/>
              </w:rPr>
              <w:t>FinRep</w:t>
            </w:r>
            <w:proofErr w:type="spellEnd"/>
            <w:r w:rsidRPr="00104B72">
              <w:rPr>
                <w:sz w:val="24"/>
                <w:szCs w:val="24"/>
              </w:rPr>
              <w:t xml:space="preserve"> und anderen wichtigen Bereichen befinden sich derzeit in Vorbereitung.</w:t>
            </w:r>
            <w:r>
              <w:rPr>
                <w:sz w:val="24"/>
                <w:szCs w:val="24"/>
              </w:rPr>
              <w:t xml:space="preserve"> </w:t>
            </w:r>
          </w:p>
        </w:tc>
      </w:tr>
    </w:tbl>
    <w:p w14:paraId="741808E1" w14:textId="15FCD5AE" w:rsidR="00F9151D" w:rsidRDefault="00F9151D" w:rsidP="00F1030A">
      <w:pPr>
        <w:rPr>
          <w:sz w:val="24"/>
          <w:szCs w:val="24"/>
        </w:rPr>
      </w:pPr>
    </w:p>
    <w:p w14:paraId="1E209A71" w14:textId="77777777" w:rsidR="00734947" w:rsidRDefault="00734947" w:rsidP="00F1030A">
      <w:pPr>
        <w:rPr>
          <w:sz w:val="24"/>
          <w:szCs w:val="24"/>
        </w:rPr>
      </w:pPr>
    </w:p>
    <w:tbl>
      <w:tblPr>
        <w:tblStyle w:val="Tabellenraster"/>
        <w:tblW w:w="9067" w:type="dxa"/>
        <w:tblLook w:val="04A0" w:firstRow="1" w:lastRow="0" w:firstColumn="1" w:lastColumn="0" w:noHBand="0" w:noVBand="1"/>
      </w:tblPr>
      <w:tblGrid>
        <w:gridCol w:w="846"/>
        <w:gridCol w:w="8221"/>
      </w:tblGrid>
      <w:tr w:rsidR="0081585E" w14:paraId="2C7A8DE1" w14:textId="77777777" w:rsidTr="001652B1">
        <w:tc>
          <w:tcPr>
            <w:tcW w:w="846" w:type="dxa"/>
            <w:shd w:val="clear" w:color="auto" w:fill="004978" w:themeFill="accent1" w:themeFillShade="BF"/>
          </w:tcPr>
          <w:p w14:paraId="59199394" w14:textId="10C61C47" w:rsidR="0081585E" w:rsidRPr="00591D34" w:rsidRDefault="001652B1">
            <w:pPr>
              <w:rPr>
                <w:sz w:val="24"/>
                <w:szCs w:val="24"/>
              </w:rPr>
            </w:pPr>
            <w:r>
              <w:rPr>
                <w:sz w:val="24"/>
                <w:szCs w:val="24"/>
              </w:rPr>
              <w:t>F 2.5</w:t>
            </w:r>
          </w:p>
        </w:tc>
        <w:tc>
          <w:tcPr>
            <w:tcW w:w="8221" w:type="dxa"/>
            <w:shd w:val="clear" w:color="auto" w:fill="004978" w:themeFill="accent1" w:themeFillShade="BF"/>
          </w:tcPr>
          <w:p w14:paraId="453F67B6" w14:textId="77777777" w:rsidR="0081585E" w:rsidRDefault="0081585E">
            <w:pPr>
              <w:rPr>
                <w:sz w:val="24"/>
                <w:szCs w:val="24"/>
              </w:rPr>
            </w:pPr>
            <w:r w:rsidRPr="00591D34">
              <w:rPr>
                <w:sz w:val="24"/>
                <w:szCs w:val="24"/>
              </w:rPr>
              <w:t xml:space="preserve">Wie werden die konkreten Erleichterungen der Meldepflichten für Less </w:t>
            </w:r>
            <w:proofErr w:type="spellStart"/>
            <w:r w:rsidRPr="00591D34">
              <w:rPr>
                <w:sz w:val="24"/>
                <w:szCs w:val="24"/>
              </w:rPr>
              <w:t>Significant</w:t>
            </w:r>
            <w:proofErr w:type="spellEnd"/>
            <w:r w:rsidRPr="00591D34">
              <w:rPr>
                <w:sz w:val="24"/>
                <w:szCs w:val="24"/>
              </w:rPr>
              <w:t xml:space="preserve"> </w:t>
            </w:r>
            <w:proofErr w:type="spellStart"/>
            <w:r w:rsidRPr="00591D34">
              <w:rPr>
                <w:sz w:val="24"/>
                <w:szCs w:val="24"/>
              </w:rPr>
              <w:t>Institutions</w:t>
            </w:r>
            <w:proofErr w:type="spellEnd"/>
            <w:r w:rsidRPr="00591D34">
              <w:rPr>
                <w:sz w:val="24"/>
                <w:szCs w:val="24"/>
              </w:rPr>
              <w:t xml:space="preserve"> (LSIs) aussehen?</w:t>
            </w:r>
          </w:p>
        </w:tc>
      </w:tr>
      <w:tr w:rsidR="0081585E" w14:paraId="75B0924A" w14:textId="77777777" w:rsidTr="001652B1">
        <w:tc>
          <w:tcPr>
            <w:tcW w:w="846" w:type="dxa"/>
          </w:tcPr>
          <w:p w14:paraId="74A1C5A1" w14:textId="79051256" w:rsidR="0081585E" w:rsidRPr="00591D34" w:rsidRDefault="001652B1">
            <w:pPr>
              <w:rPr>
                <w:sz w:val="24"/>
                <w:szCs w:val="24"/>
              </w:rPr>
            </w:pPr>
            <w:r>
              <w:rPr>
                <w:sz w:val="24"/>
                <w:szCs w:val="24"/>
              </w:rPr>
              <w:t>A</w:t>
            </w:r>
          </w:p>
        </w:tc>
        <w:tc>
          <w:tcPr>
            <w:tcW w:w="8221" w:type="dxa"/>
          </w:tcPr>
          <w:p w14:paraId="7D27A9F8" w14:textId="77777777" w:rsidR="0081585E" w:rsidRDefault="0081585E" w:rsidP="00626623">
            <w:pPr>
              <w:rPr>
                <w:sz w:val="24"/>
                <w:szCs w:val="24"/>
              </w:rPr>
            </w:pPr>
            <w:r w:rsidRPr="00591D34">
              <w:rPr>
                <w:sz w:val="24"/>
                <w:szCs w:val="24"/>
              </w:rPr>
              <w:t>Das ESZB ist sich der Notwendigkeit bewusst, im Rahmen des IReF Proportionalität sicherzustellen. Im Zuge der laufenden Kosten-Nutzen-</w:t>
            </w:r>
            <w:r w:rsidRPr="00591D34">
              <w:rPr>
                <w:sz w:val="24"/>
                <w:szCs w:val="24"/>
              </w:rPr>
              <w:lastRenderedPageBreak/>
              <w:t xml:space="preserve">Analyse werden derzeit verschiedene Optionen zur Ausgestaltung einer vereinfachten Berichtspflicht für kleinere Institute geprüft. Die konkreten Erleichterungen sind daher aktuell noch Bestandteil der Diskussion, so dass diese Frage </w:t>
            </w:r>
            <w:r w:rsidR="00626623">
              <w:rPr>
                <w:sz w:val="24"/>
                <w:szCs w:val="24"/>
              </w:rPr>
              <w:t>erst zu einem späteren Zeitpunkt</w:t>
            </w:r>
            <w:r w:rsidRPr="00591D34">
              <w:rPr>
                <w:sz w:val="24"/>
                <w:szCs w:val="24"/>
              </w:rPr>
              <w:t xml:space="preserve"> beantwortet werden kann.</w:t>
            </w:r>
          </w:p>
        </w:tc>
      </w:tr>
    </w:tbl>
    <w:p w14:paraId="57503120" w14:textId="3A7981AD" w:rsidR="001652B1" w:rsidRDefault="001652B1" w:rsidP="00F1030A">
      <w:pPr>
        <w:rPr>
          <w:sz w:val="24"/>
          <w:szCs w:val="24"/>
        </w:rPr>
      </w:pPr>
    </w:p>
    <w:tbl>
      <w:tblPr>
        <w:tblStyle w:val="Tabellenraster"/>
        <w:tblW w:w="9067" w:type="dxa"/>
        <w:tblLook w:val="04A0" w:firstRow="1" w:lastRow="0" w:firstColumn="1" w:lastColumn="0" w:noHBand="0" w:noVBand="1"/>
      </w:tblPr>
      <w:tblGrid>
        <w:gridCol w:w="846"/>
        <w:gridCol w:w="8221"/>
      </w:tblGrid>
      <w:tr w:rsidR="001652B1" w14:paraId="0A0CE53D" w14:textId="77777777">
        <w:tc>
          <w:tcPr>
            <w:tcW w:w="846" w:type="dxa"/>
            <w:shd w:val="clear" w:color="auto" w:fill="004978" w:themeFill="accent1" w:themeFillShade="BF"/>
          </w:tcPr>
          <w:p w14:paraId="7027698E" w14:textId="2CB815FF" w:rsidR="001652B1" w:rsidRPr="00591D34" w:rsidRDefault="001652B1" w:rsidP="001652B1">
            <w:pPr>
              <w:rPr>
                <w:sz w:val="24"/>
                <w:szCs w:val="24"/>
              </w:rPr>
            </w:pPr>
            <w:r>
              <w:rPr>
                <w:sz w:val="24"/>
                <w:szCs w:val="24"/>
              </w:rPr>
              <w:t>F 2.6</w:t>
            </w:r>
          </w:p>
        </w:tc>
        <w:tc>
          <w:tcPr>
            <w:tcW w:w="8221" w:type="dxa"/>
            <w:shd w:val="clear" w:color="auto" w:fill="004978" w:themeFill="accent1" w:themeFillShade="BF"/>
          </w:tcPr>
          <w:p w14:paraId="3309624D" w14:textId="7A99CB48" w:rsidR="001652B1" w:rsidRDefault="001652B1" w:rsidP="001652B1">
            <w:pPr>
              <w:rPr>
                <w:sz w:val="24"/>
                <w:szCs w:val="24"/>
              </w:rPr>
            </w:pPr>
            <w:r w:rsidRPr="001A4B4F">
              <w:rPr>
                <w:sz w:val="24"/>
                <w:szCs w:val="24"/>
              </w:rPr>
              <w:t>Zum Thema Meldeumfang der Erstmeldung: Können wir davon ausgehen, dass es für *neue* Datenfelder einen Bestandsschutz</w:t>
            </w:r>
            <w:r>
              <w:rPr>
                <w:sz w:val="24"/>
                <w:szCs w:val="24"/>
              </w:rPr>
              <w:t xml:space="preserve"> geben wird (vergleiche z.B. ur</w:t>
            </w:r>
            <w:r w:rsidRPr="001A4B4F">
              <w:rPr>
                <w:sz w:val="24"/>
                <w:szCs w:val="24"/>
              </w:rPr>
              <w:t xml:space="preserve">sprünglicher </w:t>
            </w:r>
            <w:proofErr w:type="spellStart"/>
            <w:r w:rsidRPr="001A4B4F">
              <w:rPr>
                <w:sz w:val="24"/>
                <w:szCs w:val="24"/>
              </w:rPr>
              <w:t>Sicherheitenwert</w:t>
            </w:r>
            <w:proofErr w:type="spellEnd"/>
            <w:r w:rsidRPr="001A4B4F">
              <w:rPr>
                <w:sz w:val="24"/>
                <w:szCs w:val="24"/>
              </w:rPr>
              <w:t xml:space="preserve"> in </w:t>
            </w:r>
            <w:proofErr w:type="spellStart"/>
            <w:r w:rsidRPr="001A4B4F">
              <w:rPr>
                <w:sz w:val="24"/>
                <w:szCs w:val="24"/>
              </w:rPr>
              <w:t>AnaCredit</w:t>
            </w:r>
            <w:proofErr w:type="spellEnd"/>
            <w:r w:rsidRPr="001A4B4F">
              <w:rPr>
                <w:sz w:val="24"/>
                <w:szCs w:val="24"/>
              </w:rPr>
              <w:t>)?</w:t>
            </w:r>
          </w:p>
        </w:tc>
      </w:tr>
      <w:tr w:rsidR="001652B1" w14:paraId="1F6B1176" w14:textId="77777777" w:rsidTr="001652B1">
        <w:tc>
          <w:tcPr>
            <w:tcW w:w="846" w:type="dxa"/>
          </w:tcPr>
          <w:p w14:paraId="4B626DA0" w14:textId="529D7696" w:rsidR="001652B1" w:rsidRPr="00591D34" w:rsidRDefault="001652B1">
            <w:pPr>
              <w:rPr>
                <w:sz w:val="24"/>
                <w:szCs w:val="24"/>
              </w:rPr>
            </w:pPr>
            <w:r>
              <w:rPr>
                <w:sz w:val="24"/>
                <w:szCs w:val="24"/>
              </w:rPr>
              <w:t>A</w:t>
            </w:r>
          </w:p>
        </w:tc>
        <w:tc>
          <w:tcPr>
            <w:tcW w:w="8221" w:type="dxa"/>
          </w:tcPr>
          <w:p w14:paraId="1A147F79" w14:textId="2C17E8CC" w:rsidR="001652B1" w:rsidRDefault="001652B1">
            <w:pPr>
              <w:rPr>
                <w:sz w:val="24"/>
                <w:szCs w:val="24"/>
              </w:rPr>
            </w:pPr>
            <w:r w:rsidRPr="001A4B4F">
              <w:rPr>
                <w:sz w:val="24"/>
                <w:szCs w:val="24"/>
              </w:rPr>
              <w:t>Die bestehende Praxis ist Basis für IReF. Es ist nicht vorgesehen zum Zeitpunkt der IReF-Einführung rückwirkende Meldepflichten einzuführen</w:t>
            </w:r>
            <w:r w:rsidR="00D017C5">
              <w:rPr>
                <w:sz w:val="24"/>
                <w:szCs w:val="24"/>
              </w:rPr>
              <w:t>.</w:t>
            </w:r>
          </w:p>
        </w:tc>
      </w:tr>
    </w:tbl>
    <w:p w14:paraId="627096A6" w14:textId="77777777" w:rsidR="001652B1" w:rsidRDefault="001652B1" w:rsidP="00F1030A">
      <w:pPr>
        <w:rPr>
          <w:sz w:val="24"/>
          <w:szCs w:val="24"/>
        </w:rPr>
      </w:pPr>
    </w:p>
    <w:tbl>
      <w:tblPr>
        <w:tblStyle w:val="Tabellenraster"/>
        <w:tblW w:w="9067" w:type="dxa"/>
        <w:tblLook w:val="04A0" w:firstRow="1" w:lastRow="0" w:firstColumn="1" w:lastColumn="0" w:noHBand="0" w:noVBand="1"/>
      </w:tblPr>
      <w:tblGrid>
        <w:gridCol w:w="846"/>
        <w:gridCol w:w="8221"/>
      </w:tblGrid>
      <w:tr w:rsidR="00F33611" w14:paraId="0A896021" w14:textId="77777777" w:rsidTr="00716AD8">
        <w:tc>
          <w:tcPr>
            <w:tcW w:w="846" w:type="dxa"/>
            <w:shd w:val="clear" w:color="auto" w:fill="004978" w:themeFill="accent1" w:themeFillShade="BF"/>
          </w:tcPr>
          <w:p w14:paraId="1C609220" w14:textId="58455A12" w:rsidR="00F33611" w:rsidRPr="00591D34" w:rsidRDefault="00F33611" w:rsidP="00716AD8">
            <w:pPr>
              <w:rPr>
                <w:sz w:val="24"/>
                <w:szCs w:val="24"/>
              </w:rPr>
            </w:pPr>
            <w:r>
              <w:rPr>
                <w:sz w:val="24"/>
                <w:szCs w:val="24"/>
              </w:rPr>
              <w:t>F 2.7</w:t>
            </w:r>
          </w:p>
        </w:tc>
        <w:tc>
          <w:tcPr>
            <w:tcW w:w="8221" w:type="dxa"/>
            <w:shd w:val="clear" w:color="auto" w:fill="004978" w:themeFill="accent1" w:themeFillShade="BF"/>
          </w:tcPr>
          <w:p w14:paraId="3FD286C7" w14:textId="1FC32E05" w:rsidR="00F33611" w:rsidRDefault="00F33611" w:rsidP="00716AD8">
            <w:pPr>
              <w:rPr>
                <w:sz w:val="24"/>
                <w:szCs w:val="24"/>
              </w:rPr>
            </w:pPr>
            <w:r>
              <w:rPr>
                <w:sz w:val="24"/>
                <w:szCs w:val="24"/>
              </w:rPr>
              <w:t>Welcher Rechnungslegungsstandard ist für das IReF-Meldewesen maßgeblich?</w:t>
            </w:r>
          </w:p>
        </w:tc>
      </w:tr>
      <w:tr w:rsidR="00F33611" w14:paraId="43259E7C" w14:textId="77777777" w:rsidTr="00716AD8">
        <w:tc>
          <w:tcPr>
            <w:tcW w:w="846" w:type="dxa"/>
          </w:tcPr>
          <w:p w14:paraId="533991AD" w14:textId="77777777" w:rsidR="00F33611" w:rsidRPr="00591D34" w:rsidRDefault="00F33611" w:rsidP="00716AD8">
            <w:pPr>
              <w:rPr>
                <w:sz w:val="24"/>
                <w:szCs w:val="24"/>
              </w:rPr>
            </w:pPr>
            <w:r>
              <w:rPr>
                <w:sz w:val="24"/>
                <w:szCs w:val="24"/>
              </w:rPr>
              <w:t>A</w:t>
            </w:r>
          </w:p>
        </w:tc>
        <w:tc>
          <w:tcPr>
            <w:tcW w:w="8221" w:type="dxa"/>
          </w:tcPr>
          <w:p w14:paraId="629682D2" w14:textId="4EF38BBD" w:rsidR="00F33611" w:rsidRDefault="00F33611" w:rsidP="00716AD8">
            <w:pPr>
              <w:rPr>
                <w:sz w:val="24"/>
                <w:szCs w:val="24"/>
              </w:rPr>
            </w:pPr>
            <w:r>
              <w:rPr>
                <w:sz w:val="24"/>
                <w:szCs w:val="24"/>
              </w:rPr>
              <w:t>F</w:t>
            </w:r>
            <w:r w:rsidRPr="00F33611">
              <w:rPr>
                <w:sz w:val="24"/>
                <w:szCs w:val="24"/>
              </w:rPr>
              <w:t xml:space="preserve">ür das IReF-Meldewesen </w:t>
            </w:r>
            <w:r>
              <w:rPr>
                <w:sz w:val="24"/>
                <w:szCs w:val="24"/>
              </w:rPr>
              <w:t xml:space="preserve">sind </w:t>
            </w:r>
            <w:r w:rsidRPr="00F33611">
              <w:rPr>
                <w:sz w:val="24"/>
                <w:szCs w:val="24"/>
              </w:rPr>
              <w:t>die auf Solo-Ebene geltenden Rechnungslegungsstandards anzuwenden</w:t>
            </w:r>
            <w:r>
              <w:rPr>
                <w:sz w:val="24"/>
                <w:szCs w:val="24"/>
              </w:rPr>
              <w:t>.</w:t>
            </w:r>
            <w:r w:rsidRPr="00F33611">
              <w:rPr>
                <w:sz w:val="24"/>
                <w:szCs w:val="24"/>
              </w:rPr>
              <w:t xml:space="preserve"> In den Fällen, in denen die zuständige Behörde gemäß den Vorgaben der Eigenkapitalverordnung (CRR) die Anwendung der International Financial Reporting Standards (IFRS) verlangt, gelten diese Standards auch für das IReF-Meldewesen. Dies wird in der EZB-Verordnung zum IReF klargestellt.</w:t>
            </w:r>
          </w:p>
        </w:tc>
      </w:tr>
    </w:tbl>
    <w:p w14:paraId="05115837" w14:textId="0EAB5715" w:rsidR="007F368A" w:rsidRDefault="007F368A" w:rsidP="00F1030A">
      <w:pPr>
        <w:rPr>
          <w:sz w:val="24"/>
          <w:szCs w:val="24"/>
        </w:rPr>
      </w:pPr>
    </w:p>
    <w:p w14:paraId="5E386B1D" w14:textId="35721100" w:rsidR="00D14F9A" w:rsidRDefault="00D14F9A" w:rsidP="00F1030A">
      <w:pPr>
        <w:rPr>
          <w:sz w:val="24"/>
          <w:szCs w:val="24"/>
        </w:rPr>
      </w:pPr>
    </w:p>
    <w:tbl>
      <w:tblPr>
        <w:tblStyle w:val="Tabellenraster"/>
        <w:tblW w:w="9067" w:type="dxa"/>
        <w:tblLook w:val="04A0" w:firstRow="1" w:lastRow="0" w:firstColumn="1" w:lastColumn="0" w:noHBand="0" w:noVBand="1"/>
      </w:tblPr>
      <w:tblGrid>
        <w:gridCol w:w="846"/>
        <w:gridCol w:w="8221"/>
      </w:tblGrid>
      <w:tr w:rsidR="00F33611" w14:paraId="290A47B7" w14:textId="77777777" w:rsidTr="00716AD8">
        <w:tc>
          <w:tcPr>
            <w:tcW w:w="846" w:type="dxa"/>
            <w:shd w:val="clear" w:color="auto" w:fill="004978" w:themeFill="accent1" w:themeFillShade="BF"/>
          </w:tcPr>
          <w:p w14:paraId="2E244089" w14:textId="22EE9B67" w:rsidR="00F33611" w:rsidRPr="00591D34" w:rsidRDefault="00F33611" w:rsidP="00716AD8">
            <w:pPr>
              <w:rPr>
                <w:sz w:val="24"/>
                <w:szCs w:val="24"/>
              </w:rPr>
            </w:pPr>
            <w:r>
              <w:rPr>
                <w:sz w:val="24"/>
                <w:szCs w:val="24"/>
              </w:rPr>
              <w:t>F 2.8</w:t>
            </w:r>
          </w:p>
        </w:tc>
        <w:tc>
          <w:tcPr>
            <w:tcW w:w="8221" w:type="dxa"/>
            <w:shd w:val="clear" w:color="auto" w:fill="004978" w:themeFill="accent1" w:themeFillShade="BF"/>
          </w:tcPr>
          <w:p w14:paraId="3FCCA608" w14:textId="5DA03BD9" w:rsidR="00F33611" w:rsidRDefault="00F33611" w:rsidP="00716AD8">
            <w:pPr>
              <w:rPr>
                <w:sz w:val="24"/>
                <w:szCs w:val="24"/>
              </w:rPr>
            </w:pPr>
            <w:r>
              <w:rPr>
                <w:sz w:val="24"/>
                <w:szCs w:val="24"/>
              </w:rPr>
              <w:t xml:space="preserve">Müssen IReF-Meldungen auf Solo- und auf konsolidierter Ebene abgegeben werden? </w:t>
            </w:r>
          </w:p>
        </w:tc>
      </w:tr>
      <w:tr w:rsidR="00F33611" w14:paraId="33FBA5D4" w14:textId="77777777" w:rsidTr="00716AD8">
        <w:tc>
          <w:tcPr>
            <w:tcW w:w="846" w:type="dxa"/>
          </w:tcPr>
          <w:p w14:paraId="0A6E03E9" w14:textId="77777777" w:rsidR="00F33611" w:rsidRPr="00591D34" w:rsidRDefault="00F33611" w:rsidP="00716AD8">
            <w:pPr>
              <w:rPr>
                <w:sz w:val="24"/>
                <w:szCs w:val="24"/>
              </w:rPr>
            </w:pPr>
            <w:r>
              <w:rPr>
                <w:sz w:val="24"/>
                <w:szCs w:val="24"/>
              </w:rPr>
              <w:t>A</w:t>
            </w:r>
          </w:p>
        </w:tc>
        <w:tc>
          <w:tcPr>
            <w:tcW w:w="8221" w:type="dxa"/>
          </w:tcPr>
          <w:p w14:paraId="1725350F" w14:textId="77777777" w:rsidR="004B1D40" w:rsidRDefault="00F33611" w:rsidP="00716AD8">
            <w:pPr>
              <w:rPr>
                <w:sz w:val="24"/>
                <w:szCs w:val="24"/>
              </w:rPr>
            </w:pPr>
            <w:r>
              <w:rPr>
                <w:sz w:val="24"/>
                <w:szCs w:val="24"/>
              </w:rPr>
              <w:t>I</w:t>
            </w:r>
            <w:r w:rsidRPr="00F33611">
              <w:rPr>
                <w:sz w:val="24"/>
                <w:szCs w:val="24"/>
              </w:rPr>
              <w:t xml:space="preserve">ReF-Meldungen </w:t>
            </w:r>
            <w:r>
              <w:rPr>
                <w:sz w:val="24"/>
                <w:szCs w:val="24"/>
              </w:rPr>
              <w:t xml:space="preserve">erfolgen ausschließlich auf </w:t>
            </w:r>
            <w:r w:rsidRPr="00F33611">
              <w:rPr>
                <w:sz w:val="24"/>
                <w:szCs w:val="24"/>
              </w:rPr>
              <w:t>Solo-Basis</w:t>
            </w:r>
            <w:r>
              <w:rPr>
                <w:sz w:val="24"/>
                <w:szCs w:val="24"/>
              </w:rPr>
              <w:t xml:space="preserve">. Die </w:t>
            </w:r>
            <w:r w:rsidRPr="00F33611">
              <w:rPr>
                <w:sz w:val="24"/>
                <w:szCs w:val="24"/>
              </w:rPr>
              <w:t xml:space="preserve">Konsolidierung für die Aufsichtsberichterstattung </w:t>
            </w:r>
            <w:r>
              <w:rPr>
                <w:sz w:val="24"/>
                <w:szCs w:val="24"/>
              </w:rPr>
              <w:t xml:space="preserve">wird </w:t>
            </w:r>
            <w:r w:rsidRPr="00F33611">
              <w:rPr>
                <w:sz w:val="24"/>
                <w:szCs w:val="24"/>
              </w:rPr>
              <w:t>weiterhin von den Banken durchgeführt</w:t>
            </w:r>
            <w:r>
              <w:rPr>
                <w:sz w:val="24"/>
                <w:szCs w:val="24"/>
              </w:rPr>
              <w:t xml:space="preserve">. </w:t>
            </w:r>
          </w:p>
          <w:p w14:paraId="728719FE" w14:textId="77777777" w:rsidR="004B1D40" w:rsidRDefault="004B1D40" w:rsidP="00716AD8">
            <w:pPr>
              <w:rPr>
                <w:sz w:val="24"/>
                <w:szCs w:val="24"/>
              </w:rPr>
            </w:pPr>
          </w:p>
          <w:p w14:paraId="3998BF9C" w14:textId="78ABD965" w:rsidR="00F33611" w:rsidRDefault="004B1D40" w:rsidP="00716AD8">
            <w:pPr>
              <w:rPr>
                <w:sz w:val="24"/>
                <w:szCs w:val="24"/>
              </w:rPr>
            </w:pPr>
            <w:r>
              <w:rPr>
                <w:sz w:val="24"/>
                <w:szCs w:val="24"/>
              </w:rPr>
              <w:t>Das</w:t>
            </w:r>
            <w:r w:rsidR="007304BA">
              <w:rPr>
                <w:sz w:val="24"/>
                <w:szCs w:val="24"/>
              </w:rPr>
              <w:t xml:space="preserve"> </w:t>
            </w:r>
            <w:r w:rsidR="00F33611" w:rsidRPr="00F33611">
              <w:rPr>
                <w:sz w:val="24"/>
                <w:szCs w:val="24"/>
              </w:rPr>
              <w:t xml:space="preserve">IReF-Datenmodell </w:t>
            </w:r>
            <w:r w:rsidR="00D8297A">
              <w:rPr>
                <w:sz w:val="24"/>
                <w:szCs w:val="24"/>
              </w:rPr>
              <w:t>ist</w:t>
            </w:r>
            <w:r>
              <w:rPr>
                <w:sz w:val="24"/>
                <w:szCs w:val="24"/>
              </w:rPr>
              <w:t xml:space="preserve"> </w:t>
            </w:r>
            <w:r w:rsidR="00414473">
              <w:rPr>
                <w:sz w:val="24"/>
                <w:szCs w:val="24"/>
              </w:rPr>
              <w:t xml:space="preserve">aber </w:t>
            </w:r>
            <w:r w:rsidR="00F33611" w:rsidRPr="00F33611">
              <w:rPr>
                <w:sz w:val="24"/>
                <w:szCs w:val="24"/>
              </w:rPr>
              <w:t xml:space="preserve">unabhängig von der Konsolidierungsebene der zugrunde liegenden Daten </w:t>
            </w:r>
            <w:r>
              <w:rPr>
                <w:sz w:val="24"/>
                <w:szCs w:val="24"/>
              </w:rPr>
              <w:t xml:space="preserve">und kann </w:t>
            </w:r>
            <w:r w:rsidR="007304BA">
              <w:rPr>
                <w:sz w:val="24"/>
                <w:szCs w:val="24"/>
              </w:rPr>
              <w:t xml:space="preserve">von den Banken </w:t>
            </w:r>
            <w:r w:rsidR="00F33611" w:rsidRPr="00F33611">
              <w:rPr>
                <w:sz w:val="24"/>
                <w:szCs w:val="24"/>
              </w:rPr>
              <w:t xml:space="preserve">für </w:t>
            </w:r>
            <w:r>
              <w:rPr>
                <w:sz w:val="24"/>
                <w:szCs w:val="24"/>
              </w:rPr>
              <w:t xml:space="preserve">die Erstellung </w:t>
            </w:r>
            <w:r w:rsidR="00F33611" w:rsidRPr="00F33611">
              <w:rPr>
                <w:sz w:val="24"/>
                <w:szCs w:val="24"/>
              </w:rPr>
              <w:t>konsolidierte</w:t>
            </w:r>
            <w:r>
              <w:rPr>
                <w:sz w:val="24"/>
                <w:szCs w:val="24"/>
              </w:rPr>
              <w:t>r</w:t>
            </w:r>
            <w:r w:rsidR="00F33611" w:rsidRPr="00F33611">
              <w:rPr>
                <w:sz w:val="24"/>
                <w:szCs w:val="24"/>
              </w:rPr>
              <w:t xml:space="preserve"> Meldungen verwendet werden</w:t>
            </w:r>
            <w:r>
              <w:rPr>
                <w:sz w:val="24"/>
                <w:szCs w:val="24"/>
              </w:rPr>
              <w:t>,</w:t>
            </w:r>
            <w:r w:rsidR="00F33611" w:rsidRPr="00F33611">
              <w:rPr>
                <w:sz w:val="24"/>
                <w:szCs w:val="24"/>
              </w:rPr>
              <w:t xml:space="preserve"> sofern die Eingangsdaten konsolidiert sind. </w:t>
            </w:r>
          </w:p>
        </w:tc>
      </w:tr>
    </w:tbl>
    <w:p w14:paraId="74030231" w14:textId="77777777" w:rsidR="00D14F9A" w:rsidRDefault="00D14F9A" w:rsidP="00F1030A">
      <w:pPr>
        <w:rPr>
          <w:sz w:val="24"/>
          <w:szCs w:val="24"/>
        </w:rPr>
      </w:pPr>
    </w:p>
    <w:p w14:paraId="27B13CBD" w14:textId="77777777" w:rsidR="00A928A1" w:rsidRDefault="00A928A1" w:rsidP="00F1030A">
      <w:pPr>
        <w:rPr>
          <w:sz w:val="24"/>
          <w:szCs w:val="24"/>
        </w:rPr>
      </w:pPr>
    </w:p>
    <w:p w14:paraId="0571F287" w14:textId="113A3B5A" w:rsidR="007F368A" w:rsidRPr="001652B1" w:rsidRDefault="007F368A" w:rsidP="001652B1">
      <w:pPr>
        <w:pStyle w:val="Listenabsatz"/>
        <w:numPr>
          <w:ilvl w:val="0"/>
          <w:numId w:val="19"/>
        </w:numPr>
        <w:rPr>
          <w:b/>
          <w:sz w:val="24"/>
          <w:szCs w:val="24"/>
        </w:rPr>
      </w:pPr>
      <w:r w:rsidRPr="001652B1">
        <w:rPr>
          <w:b/>
          <w:sz w:val="24"/>
          <w:szCs w:val="24"/>
        </w:rPr>
        <w:t xml:space="preserve">Dokumentation / </w:t>
      </w:r>
      <w:r w:rsidR="000C3BC5" w:rsidRPr="001652B1">
        <w:rPr>
          <w:b/>
          <w:sz w:val="24"/>
          <w:szCs w:val="24"/>
        </w:rPr>
        <w:t>T</w:t>
      </w:r>
      <w:r w:rsidRPr="001652B1">
        <w:rPr>
          <w:b/>
          <w:sz w:val="24"/>
          <w:szCs w:val="24"/>
        </w:rPr>
        <w:t>echnische Umsetzung</w:t>
      </w:r>
    </w:p>
    <w:tbl>
      <w:tblPr>
        <w:tblStyle w:val="Tabellenraster"/>
        <w:tblW w:w="9072" w:type="dxa"/>
        <w:tblInd w:w="-5" w:type="dxa"/>
        <w:tblLook w:val="04A0" w:firstRow="1" w:lastRow="0" w:firstColumn="1" w:lastColumn="0" w:noHBand="0" w:noVBand="1"/>
      </w:tblPr>
      <w:tblGrid>
        <w:gridCol w:w="834"/>
        <w:gridCol w:w="8238"/>
      </w:tblGrid>
      <w:tr w:rsidR="007F368A" w14:paraId="664B1B91" w14:textId="77777777" w:rsidTr="001652B1">
        <w:tc>
          <w:tcPr>
            <w:tcW w:w="834" w:type="dxa"/>
            <w:shd w:val="clear" w:color="auto" w:fill="004978" w:themeFill="accent1" w:themeFillShade="BF"/>
          </w:tcPr>
          <w:p w14:paraId="7F71CF86" w14:textId="013EBAC8" w:rsidR="007F368A" w:rsidRPr="00591D34" w:rsidRDefault="001652B1" w:rsidP="001652B1">
            <w:pPr>
              <w:rPr>
                <w:sz w:val="24"/>
                <w:szCs w:val="24"/>
              </w:rPr>
            </w:pPr>
            <w:r>
              <w:rPr>
                <w:sz w:val="24"/>
                <w:szCs w:val="24"/>
              </w:rPr>
              <w:t>F 3.1</w:t>
            </w:r>
          </w:p>
        </w:tc>
        <w:tc>
          <w:tcPr>
            <w:tcW w:w="8238" w:type="dxa"/>
            <w:shd w:val="clear" w:color="auto" w:fill="004978" w:themeFill="accent1" w:themeFillShade="BF"/>
          </w:tcPr>
          <w:p w14:paraId="4C334782" w14:textId="4779C6D2" w:rsidR="007F368A" w:rsidRDefault="007F368A" w:rsidP="007F368A">
            <w:pPr>
              <w:rPr>
                <w:sz w:val="24"/>
                <w:szCs w:val="24"/>
              </w:rPr>
            </w:pPr>
            <w:r w:rsidRPr="007F368A">
              <w:rPr>
                <w:sz w:val="24"/>
                <w:szCs w:val="24"/>
              </w:rPr>
              <w:t>Können Sie uns</w:t>
            </w:r>
            <w:r>
              <w:rPr>
                <w:sz w:val="24"/>
                <w:szCs w:val="24"/>
              </w:rPr>
              <w:t xml:space="preserve"> schon</w:t>
            </w:r>
            <w:r w:rsidRPr="007F368A">
              <w:rPr>
                <w:sz w:val="24"/>
                <w:szCs w:val="24"/>
              </w:rPr>
              <w:t xml:space="preserve"> Einzelheiten </w:t>
            </w:r>
            <w:r>
              <w:rPr>
                <w:sz w:val="24"/>
                <w:szCs w:val="24"/>
              </w:rPr>
              <w:t>über die technische Umsetzung mitteilen</w:t>
            </w:r>
            <w:r w:rsidRPr="007F368A">
              <w:rPr>
                <w:sz w:val="24"/>
                <w:szCs w:val="24"/>
              </w:rPr>
              <w:t>?</w:t>
            </w:r>
          </w:p>
        </w:tc>
      </w:tr>
      <w:tr w:rsidR="007F368A" w14:paraId="7AD257C3" w14:textId="77777777" w:rsidTr="001652B1">
        <w:tc>
          <w:tcPr>
            <w:tcW w:w="834" w:type="dxa"/>
          </w:tcPr>
          <w:p w14:paraId="6A6D859B" w14:textId="7DDB3061" w:rsidR="007F368A" w:rsidRPr="00591D34" w:rsidRDefault="001652B1">
            <w:pPr>
              <w:rPr>
                <w:sz w:val="24"/>
                <w:szCs w:val="24"/>
              </w:rPr>
            </w:pPr>
            <w:r>
              <w:rPr>
                <w:sz w:val="24"/>
                <w:szCs w:val="24"/>
              </w:rPr>
              <w:t>A</w:t>
            </w:r>
          </w:p>
        </w:tc>
        <w:tc>
          <w:tcPr>
            <w:tcW w:w="8238" w:type="dxa"/>
          </w:tcPr>
          <w:p w14:paraId="06AB75C9" w14:textId="77777777" w:rsidR="007F368A" w:rsidRDefault="007F368A" w:rsidP="007F368A">
            <w:pPr>
              <w:rPr>
                <w:sz w:val="24"/>
                <w:szCs w:val="24"/>
              </w:rPr>
            </w:pPr>
            <w:r>
              <w:rPr>
                <w:sz w:val="24"/>
                <w:szCs w:val="24"/>
              </w:rPr>
              <w:t xml:space="preserve">Die </w:t>
            </w:r>
            <w:r w:rsidR="000C3BC5">
              <w:rPr>
                <w:sz w:val="24"/>
                <w:szCs w:val="24"/>
              </w:rPr>
              <w:t>technische</w:t>
            </w:r>
            <w:r>
              <w:rPr>
                <w:sz w:val="24"/>
                <w:szCs w:val="24"/>
              </w:rPr>
              <w:t xml:space="preserve"> Umsetzung ist aktuell Gegenstand de</w:t>
            </w:r>
            <w:r w:rsidR="0098753B">
              <w:rPr>
                <w:sz w:val="24"/>
                <w:szCs w:val="24"/>
              </w:rPr>
              <w:t>r</w:t>
            </w:r>
            <w:r>
              <w:rPr>
                <w:sz w:val="24"/>
                <w:szCs w:val="24"/>
              </w:rPr>
              <w:t xml:space="preserve"> Diskussionen im ESZB. Die Einzelheiten werden zu einem späteren Zeitpunkt veröffentlicht. </w:t>
            </w:r>
            <w:r>
              <w:rPr>
                <w:sz w:val="24"/>
                <w:szCs w:val="24"/>
              </w:rPr>
              <w:lastRenderedPageBreak/>
              <w:t>D</w:t>
            </w:r>
            <w:r w:rsidRPr="007F368A">
              <w:rPr>
                <w:sz w:val="24"/>
                <w:szCs w:val="24"/>
              </w:rPr>
              <w:t xml:space="preserve">ie IReF-Implementierungsmodelle </w:t>
            </w:r>
            <w:r>
              <w:rPr>
                <w:sz w:val="24"/>
                <w:szCs w:val="24"/>
              </w:rPr>
              <w:t xml:space="preserve">werden </w:t>
            </w:r>
            <w:r w:rsidRPr="007F368A">
              <w:rPr>
                <w:sz w:val="24"/>
                <w:szCs w:val="24"/>
              </w:rPr>
              <w:t>nicht in der</w:t>
            </w:r>
            <w:r>
              <w:rPr>
                <w:sz w:val="24"/>
                <w:szCs w:val="24"/>
              </w:rPr>
              <w:t xml:space="preserve"> IReF-Verordnung enthalten sein</w:t>
            </w:r>
            <w:r w:rsidRPr="007F368A">
              <w:rPr>
                <w:sz w:val="24"/>
                <w:szCs w:val="24"/>
              </w:rPr>
              <w:t>, die</w:t>
            </w:r>
            <w:r>
              <w:rPr>
                <w:sz w:val="24"/>
                <w:szCs w:val="24"/>
              </w:rPr>
              <w:t>se deckt</w:t>
            </w:r>
            <w:r w:rsidRPr="007F368A">
              <w:rPr>
                <w:sz w:val="24"/>
                <w:szCs w:val="24"/>
              </w:rPr>
              <w:t xml:space="preserve"> nur das logische Datenmodell </w:t>
            </w:r>
            <w:r>
              <w:rPr>
                <w:sz w:val="24"/>
                <w:szCs w:val="24"/>
              </w:rPr>
              <w:t>ab.</w:t>
            </w:r>
          </w:p>
        </w:tc>
      </w:tr>
    </w:tbl>
    <w:p w14:paraId="727DD96F" w14:textId="77777777" w:rsidR="001A4B4F" w:rsidRDefault="001A4B4F" w:rsidP="00F1030A">
      <w:pPr>
        <w:rPr>
          <w:sz w:val="24"/>
          <w:szCs w:val="24"/>
        </w:rPr>
      </w:pPr>
    </w:p>
    <w:tbl>
      <w:tblPr>
        <w:tblStyle w:val="Tabellenraster"/>
        <w:tblW w:w="9072" w:type="dxa"/>
        <w:tblInd w:w="-5" w:type="dxa"/>
        <w:tblLook w:val="04A0" w:firstRow="1" w:lastRow="0" w:firstColumn="1" w:lastColumn="0" w:noHBand="0" w:noVBand="1"/>
      </w:tblPr>
      <w:tblGrid>
        <w:gridCol w:w="834"/>
        <w:gridCol w:w="8238"/>
      </w:tblGrid>
      <w:tr w:rsidR="007F368A" w14:paraId="051BD02E" w14:textId="77777777" w:rsidTr="001652B1">
        <w:tc>
          <w:tcPr>
            <w:tcW w:w="834" w:type="dxa"/>
            <w:shd w:val="clear" w:color="auto" w:fill="004978" w:themeFill="accent1" w:themeFillShade="BF"/>
          </w:tcPr>
          <w:p w14:paraId="610B726E" w14:textId="0A55908B" w:rsidR="007F368A" w:rsidRPr="00591D34" w:rsidRDefault="001652B1">
            <w:pPr>
              <w:rPr>
                <w:sz w:val="24"/>
                <w:szCs w:val="24"/>
              </w:rPr>
            </w:pPr>
            <w:r>
              <w:rPr>
                <w:sz w:val="24"/>
                <w:szCs w:val="24"/>
              </w:rPr>
              <w:t>F 3.2</w:t>
            </w:r>
          </w:p>
        </w:tc>
        <w:tc>
          <w:tcPr>
            <w:tcW w:w="8238" w:type="dxa"/>
            <w:shd w:val="clear" w:color="auto" w:fill="004978" w:themeFill="accent1" w:themeFillShade="BF"/>
          </w:tcPr>
          <w:p w14:paraId="0F31D096" w14:textId="77777777" w:rsidR="007F368A" w:rsidRDefault="007F368A">
            <w:pPr>
              <w:rPr>
                <w:sz w:val="24"/>
                <w:szCs w:val="24"/>
              </w:rPr>
            </w:pPr>
            <w:r w:rsidRPr="007F368A">
              <w:rPr>
                <w:sz w:val="24"/>
                <w:szCs w:val="24"/>
              </w:rPr>
              <w:t>Wird die Bundesbank wieder eigene Richtlinien für IReF herausgeben?</w:t>
            </w:r>
          </w:p>
        </w:tc>
      </w:tr>
      <w:tr w:rsidR="007F368A" w14:paraId="70F9D2B7" w14:textId="77777777" w:rsidTr="001652B1">
        <w:tc>
          <w:tcPr>
            <w:tcW w:w="834" w:type="dxa"/>
          </w:tcPr>
          <w:p w14:paraId="170E2558" w14:textId="5CDBFBE9" w:rsidR="007F368A" w:rsidRPr="00591D34" w:rsidRDefault="001652B1">
            <w:pPr>
              <w:rPr>
                <w:sz w:val="24"/>
                <w:szCs w:val="24"/>
              </w:rPr>
            </w:pPr>
            <w:r>
              <w:rPr>
                <w:sz w:val="24"/>
                <w:szCs w:val="24"/>
              </w:rPr>
              <w:t>A</w:t>
            </w:r>
          </w:p>
        </w:tc>
        <w:tc>
          <w:tcPr>
            <w:tcW w:w="8238" w:type="dxa"/>
          </w:tcPr>
          <w:p w14:paraId="14BB5007" w14:textId="77777777" w:rsidR="007F368A" w:rsidRDefault="007F368A">
            <w:pPr>
              <w:rPr>
                <w:sz w:val="24"/>
                <w:szCs w:val="24"/>
              </w:rPr>
            </w:pPr>
            <w:r w:rsidRPr="007F368A">
              <w:rPr>
                <w:sz w:val="24"/>
                <w:szCs w:val="24"/>
              </w:rPr>
              <w:t xml:space="preserve">IReF wird nach derzeitigem Stand auch hinsichtlich der operativen Umsetzung und der Geschäftsprozesse vollständig standardisiert. Nationale Richtlinien würden daher durch europäische Richtlinien, Data </w:t>
            </w:r>
            <w:proofErr w:type="spellStart"/>
            <w:r w:rsidRPr="007F368A">
              <w:rPr>
                <w:sz w:val="24"/>
                <w:szCs w:val="24"/>
              </w:rPr>
              <w:t>Dictionaries</w:t>
            </w:r>
            <w:proofErr w:type="spellEnd"/>
            <w:r w:rsidRPr="007F368A">
              <w:rPr>
                <w:sz w:val="24"/>
                <w:szCs w:val="24"/>
              </w:rPr>
              <w:t>, etc. ersetzt. Ob noch in geringerem Umfang ergänzende nationale Richtlinien erforderlich sind, ist noch nicht absehbar.</w:t>
            </w:r>
          </w:p>
        </w:tc>
      </w:tr>
    </w:tbl>
    <w:p w14:paraId="3B159CD5" w14:textId="77777777" w:rsidR="007F368A" w:rsidRDefault="007F368A" w:rsidP="00F1030A">
      <w:pPr>
        <w:rPr>
          <w:sz w:val="24"/>
          <w:szCs w:val="24"/>
        </w:rPr>
      </w:pPr>
    </w:p>
    <w:p w14:paraId="472E7603" w14:textId="77777777" w:rsidR="00E41796" w:rsidRDefault="00E41796" w:rsidP="00F1030A">
      <w:pPr>
        <w:rPr>
          <w:b/>
          <w:sz w:val="24"/>
          <w:szCs w:val="24"/>
        </w:rPr>
      </w:pPr>
    </w:p>
    <w:p w14:paraId="5C723ABD" w14:textId="559EF3FB" w:rsidR="00894C55" w:rsidRPr="001652B1" w:rsidRDefault="00894C55" w:rsidP="001652B1">
      <w:pPr>
        <w:pStyle w:val="Listenabsatz"/>
        <w:numPr>
          <w:ilvl w:val="0"/>
          <w:numId w:val="19"/>
        </w:numPr>
        <w:rPr>
          <w:b/>
          <w:sz w:val="24"/>
          <w:szCs w:val="24"/>
        </w:rPr>
      </w:pPr>
      <w:r w:rsidRPr="001652B1">
        <w:rPr>
          <w:b/>
          <w:sz w:val="24"/>
          <w:szCs w:val="24"/>
        </w:rPr>
        <w:t>Parallelphase</w:t>
      </w:r>
    </w:p>
    <w:tbl>
      <w:tblPr>
        <w:tblStyle w:val="Tabellenraster"/>
        <w:tblW w:w="9072" w:type="dxa"/>
        <w:tblInd w:w="-5" w:type="dxa"/>
        <w:tblLook w:val="04A0" w:firstRow="1" w:lastRow="0" w:firstColumn="1" w:lastColumn="0" w:noHBand="0" w:noVBand="1"/>
      </w:tblPr>
      <w:tblGrid>
        <w:gridCol w:w="834"/>
        <w:gridCol w:w="8238"/>
      </w:tblGrid>
      <w:tr w:rsidR="00894C55" w14:paraId="18021D09" w14:textId="77777777" w:rsidTr="001652B1">
        <w:tc>
          <w:tcPr>
            <w:tcW w:w="834" w:type="dxa"/>
            <w:shd w:val="clear" w:color="auto" w:fill="004978" w:themeFill="accent1" w:themeFillShade="BF"/>
          </w:tcPr>
          <w:p w14:paraId="254442D9" w14:textId="79746453" w:rsidR="00894C55" w:rsidRPr="00591D34" w:rsidRDefault="001652B1">
            <w:pPr>
              <w:rPr>
                <w:sz w:val="24"/>
                <w:szCs w:val="24"/>
              </w:rPr>
            </w:pPr>
            <w:r>
              <w:rPr>
                <w:sz w:val="24"/>
                <w:szCs w:val="24"/>
              </w:rPr>
              <w:t>F 4.1</w:t>
            </w:r>
          </w:p>
        </w:tc>
        <w:tc>
          <w:tcPr>
            <w:tcW w:w="8238" w:type="dxa"/>
            <w:shd w:val="clear" w:color="auto" w:fill="004978" w:themeFill="accent1" w:themeFillShade="BF"/>
          </w:tcPr>
          <w:p w14:paraId="46C53EAC" w14:textId="77777777" w:rsidR="00894C55" w:rsidRDefault="00894C55">
            <w:pPr>
              <w:rPr>
                <w:sz w:val="24"/>
                <w:szCs w:val="24"/>
              </w:rPr>
            </w:pPr>
            <w:r w:rsidRPr="00591D34">
              <w:rPr>
                <w:sz w:val="24"/>
                <w:szCs w:val="24"/>
              </w:rPr>
              <w:t>Wie lange wird die Parallelphase für die existierenden Meldungen und IReF sein? Wird die Dauer der Parallelphase bereits in der Verordnung definiert?</w:t>
            </w:r>
          </w:p>
        </w:tc>
      </w:tr>
      <w:tr w:rsidR="00894C55" w14:paraId="5D9AFA14" w14:textId="77777777" w:rsidTr="0041247F">
        <w:trPr>
          <w:trHeight w:val="779"/>
        </w:trPr>
        <w:tc>
          <w:tcPr>
            <w:tcW w:w="834" w:type="dxa"/>
          </w:tcPr>
          <w:p w14:paraId="24209FDD" w14:textId="0139C99B" w:rsidR="00894C55" w:rsidRPr="00591D34" w:rsidRDefault="001652B1">
            <w:pPr>
              <w:rPr>
                <w:sz w:val="24"/>
                <w:szCs w:val="24"/>
              </w:rPr>
            </w:pPr>
            <w:r>
              <w:rPr>
                <w:sz w:val="24"/>
                <w:szCs w:val="24"/>
              </w:rPr>
              <w:t>A</w:t>
            </w:r>
          </w:p>
        </w:tc>
        <w:tc>
          <w:tcPr>
            <w:tcW w:w="8238" w:type="dxa"/>
          </w:tcPr>
          <w:p w14:paraId="12A1A09A" w14:textId="5B23E4E4" w:rsidR="00894C55" w:rsidRDefault="00894C55">
            <w:pPr>
              <w:rPr>
                <w:sz w:val="24"/>
                <w:szCs w:val="24"/>
              </w:rPr>
            </w:pPr>
            <w:r w:rsidRPr="00591D34">
              <w:rPr>
                <w:sz w:val="24"/>
                <w:szCs w:val="24"/>
              </w:rPr>
              <w:t xml:space="preserve">Die </w:t>
            </w:r>
            <w:r w:rsidR="001C43A8">
              <w:rPr>
                <w:sz w:val="24"/>
                <w:szCs w:val="24"/>
              </w:rPr>
              <w:t xml:space="preserve">genaue </w:t>
            </w:r>
            <w:r w:rsidRPr="00591D34">
              <w:rPr>
                <w:sz w:val="24"/>
                <w:szCs w:val="24"/>
              </w:rPr>
              <w:t xml:space="preserve">Dauer der Parallelphase </w:t>
            </w:r>
            <w:r w:rsidR="001C43A8">
              <w:rPr>
                <w:sz w:val="24"/>
                <w:szCs w:val="24"/>
              </w:rPr>
              <w:t>befindet</w:t>
            </w:r>
            <w:r w:rsidR="0041247F">
              <w:rPr>
                <w:sz w:val="24"/>
                <w:szCs w:val="24"/>
              </w:rPr>
              <w:t xml:space="preserve"> </w:t>
            </w:r>
            <w:r w:rsidR="001C43A8">
              <w:rPr>
                <w:sz w:val="24"/>
                <w:szCs w:val="24"/>
              </w:rPr>
              <w:t xml:space="preserve">sich </w:t>
            </w:r>
            <w:r w:rsidR="0041247F">
              <w:rPr>
                <w:sz w:val="24"/>
                <w:szCs w:val="24"/>
              </w:rPr>
              <w:t xml:space="preserve">derzeit </w:t>
            </w:r>
            <w:r w:rsidR="001C43A8">
              <w:rPr>
                <w:sz w:val="24"/>
                <w:szCs w:val="24"/>
              </w:rPr>
              <w:t>in Abstimmung</w:t>
            </w:r>
            <w:r w:rsidR="0041247F">
              <w:rPr>
                <w:sz w:val="24"/>
                <w:szCs w:val="24"/>
              </w:rPr>
              <w:t xml:space="preserve">. Es ist geplant, die Zeitdauer der Parallelphase in der Verordnung </w:t>
            </w:r>
            <w:r w:rsidR="000125F3">
              <w:rPr>
                <w:sz w:val="24"/>
                <w:szCs w:val="24"/>
              </w:rPr>
              <w:t>festzu</w:t>
            </w:r>
            <w:r w:rsidR="00226461">
              <w:rPr>
                <w:sz w:val="24"/>
                <w:szCs w:val="24"/>
              </w:rPr>
              <w:t>legen</w:t>
            </w:r>
            <w:r w:rsidR="0041247F">
              <w:rPr>
                <w:sz w:val="24"/>
                <w:szCs w:val="24"/>
              </w:rPr>
              <w:t>.</w:t>
            </w:r>
          </w:p>
        </w:tc>
      </w:tr>
    </w:tbl>
    <w:p w14:paraId="1D78ABB5" w14:textId="77777777" w:rsidR="00894C55" w:rsidRDefault="00894C55" w:rsidP="00F1030A">
      <w:pPr>
        <w:rPr>
          <w:sz w:val="24"/>
          <w:szCs w:val="24"/>
        </w:rPr>
      </w:pPr>
    </w:p>
    <w:p w14:paraId="2F2981AE" w14:textId="77777777" w:rsidR="00A928A1" w:rsidRDefault="00A928A1" w:rsidP="00F1030A">
      <w:pPr>
        <w:rPr>
          <w:sz w:val="24"/>
          <w:szCs w:val="24"/>
        </w:rPr>
      </w:pPr>
    </w:p>
    <w:p w14:paraId="5A328DCD" w14:textId="77777777" w:rsidR="00A928A1" w:rsidRDefault="00A928A1" w:rsidP="00F1030A">
      <w:pPr>
        <w:rPr>
          <w:sz w:val="24"/>
          <w:szCs w:val="24"/>
        </w:rPr>
      </w:pPr>
    </w:p>
    <w:p w14:paraId="6F86811E" w14:textId="77777777" w:rsidR="00A928A1" w:rsidRDefault="00A928A1" w:rsidP="00F1030A">
      <w:pPr>
        <w:rPr>
          <w:sz w:val="24"/>
          <w:szCs w:val="24"/>
        </w:rPr>
      </w:pPr>
    </w:p>
    <w:p w14:paraId="395FFB72" w14:textId="77777777" w:rsidR="00E41796" w:rsidRDefault="00E41796" w:rsidP="00F1030A">
      <w:pPr>
        <w:rPr>
          <w:b/>
          <w:sz w:val="24"/>
          <w:szCs w:val="24"/>
        </w:rPr>
      </w:pPr>
    </w:p>
    <w:p w14:paraId="323E2333" w14:textId="5D195690" w:rsidR="00894C55" w:rsidRPr="001652B1" w:rsidRDefault="001A4B4F" w:rsidP="001652B1">
      <w:pPr>
        <w:pStyle w:val="Listenabsatz"/>
        <w:numPr>
          <w:ilvl w:val="0"/>
          <w:numId w:val="19"/>
        </w:numPr>
        <w:rPr>
          <w:b/>
          <w:sz w:val="24"/>
          <w:szCs w:val="24"/>
        </w:rPr>
      </w:pPr>
      <w:r w:rsidRPr="001652B1">
        <w:rPr>
          <w:b/>
          <w:sz w:val="24"/>
          <w:szCs w:val="24"/>
        </w:rPr>
        <w:t>Vertragspartner-Stammdaten</w:t>
      </w:r>
    </w:p>
    <w:tbl>
      <w:tblPr>
        <w:tblStyle w:val="Tabellenraster"/>
        <w:tblW w:w="0" w:type="auto"/>
        <w:tblInd w:w="-5" w:type="dxa"/>
        <w:tblLook w:val="04A0" w:firstRow="1" w:lastRow="0" w:firstColumn="1" w:lastColumn="0" w:noHBand="0" w:noVBand="1"/>
      </w:tblPr>
      <w:tblGrid>
        <w:gridCol w:w="834"/>
        <w:gridCol w:w="8233"/>
      </w:tblGrid>
      <w:tr w:rsidR="001C0CD3" w14:paraId="2E464841" w14:textId="77777777" w:rsidTr="001652B1">
        <w:tc>
          <w:tcPr>
            <w:tcW w:w="834" w:type="dxa"/>
            <w:shd w:val="clear" w:color="auto" w:fill="004978" w:themeFill="accent1" w:themeFillShade="BF"/>
          </w:tcPr>
          <w:p w14:paraId="14D92CC1" w14:textId="22611FAF" w:rsidR="001C0CD3" w:rsidRDefault="001652B1">
            <w:pPr>
              <w:rPr>
                <w:sz w:val="24"/>
                <w:szCs w:val="24"/>
              </w:rPr>
            </w:pPr>
            <w:r>
              <w:rPr>
                <w:sz w:val="24"/>
                <w:szCs w:val="24"/>
              </w:rPr>
              <w:t>F 5.1</w:t>
            </w:r>
          </w:p>
        </w:tc>
        <w:tc>
          <w:tcPr>
            <w:tcW w:w="8233" w:type="dxa"/>
            <w:shd w:val="clear" w:color="auto" w:fill="004978" w:themeFill="accent1" w:themeFillShade="BF"/>
          </w:tcPr>
          <w:p w14:paraId="6A9697B1" w14:textId="77777777" w:rsidR="001C0CD3" w:rsidRDefault="001C0CD3">
            <w:pPr>
              <w:rPr>
                <w:sz w:val="24"/>
                <w:szCs w:val="24"/>
              </w:rPr>
            </w:pPr>
            <w:r w:rsidRPr="001C0CD3">
              <w:rPr>
                <w:sz w:val="24"/>
                <w:szCs w:val="24"/>
              </w:rPr>
              <w:t>Wird es in Deutschland mit der Bundesbank ein Rückmeldeverfahren der Vertragspartner-Stammdaten unter IReF geben?</w:t>
            </w:r>
          </w:p>
        </w:tc>
      </w:tr>
      <w:tr w:rsidR="001C0CD3" w14:paraId="4B9756C9" w14:textId="77777777" w:rsidTr="001652B1">
        <w:tc>
          <w:tcPr>
            <w:tcW w:w="834" w:type="dxa"/>
          </w:tcPr>
          <w:p w14:paraId="594EAF1E" w14:textId="03094841" w:rsidR="001C0CD3" w:rsidRDefault="001652B1">
            <w:pPr>
              <w:rPr>
                <w:sz w:val="24"/>
                <w:szCs w:val="24"/>
              </w:rPr>
            </w:pPr>
            <w:r>
              <w:rPr>
                <w:sz w:val="24"/>
                <w:szCs w:val="24"/>
              </w:rPr>
              <w:t>A</w:t>
            </w:r>
          </w:p>
        </w:tc>
        <w:tc>
          <w:tcPr>
            <w:tcW w:w="8233" w:type="dxa"/>
          </w:tcPr>
          <w:p w14:paraId="3AA0F302" w14:textId="77777777" w:rsidR="001C0CD3" w:rsidRDefault="00356A09" w:rsidP="00E41796">
            <w:pPr>
              <w:rPr>
                <w:sz w:val="24"/>
                <w:szCs w:val="24"/>
              </w:rPr>
            </w:pPr>
            <w:r>
              <w:rPr>
                <w:sz w:val="24"/>
                <w:szCs w:val="24"/>
              </w:rPr>
              <w:t xml:space="preserve">Eine Änderung des Prozesses für Vertragspartner-Stammdaten </w:t>
            </w:r>
            <w:r w:rsidR="00E41796">
              <w:rPr>
                <w:sz w:val="24"/>
                <w:szCs w:val="24"/>
              </w:rPr>
              <w:t xml:space="preserve">unter IReF </w:t>
            </w:r>
            <w:r w:rsidR="0098753B">
              <w:rPr>
                <w:sz w:val="24"/>
                <w:szCs w:val="24"/>
              </w:rPr>
              <w:t xml:space="preserve">und somit eine Anpassung bestehender Rechtsnormen </w:t>
            </w:r>
            <w:r>
              <w:rPr>
                <w:sz w:val="24"/>
                <w:szCs w:val="24"/>
              </w:rPr>
              <w:t xml:space="preserve">wird derzeit geprüft. </w:t>
            </w:r>
          </w:p>
        </w:tc>
      </w:tr>
    </w:tbl>
    <w:p w14:paraId="07E94CAB" w14:textId="77777777" w:rsidR="001C0CD3" w:rsidRPr="00F1030A" w:rsidRDefault="001C0CD3" w:rsidP="00F1030A">
      <w:pPr>
        <w:rPr>
          <w:sz w:val="24"/>
          <w:szCs w:val="24"/>
        </w:rPr>
      </w:pPr>
    </w:p>
    <w:sectPr w:rsidR="001C0CD3" w:rsidRPr="00F1030A">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96115B" w14:textId="77777777" w:rsidR="00E430FC" w:rsidRDefault="00E430FC" w:rsidP="00095460">
      <w:pPr>
        <w:spacing w:line="240" w:lineRule="auto"/>
      </w:pPr>
      <w:r>
        <w:separator/>
      </w:r>
    </w:p>
  </w:endnote>
  <w:endnote w:type="continuationSeparator" w:id="0">
    <w:p w14:paraId="5BB36CEF" w14:textId="77777777" w:rsidR="00E430FC" w:rsidRDefault="00E430FC" w:rsidP="000954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87ABEA" w14:textId="77777777" w:rsidR="00E430FC" w:rsidRDefault="00E430FC" w:rsidP="00095460">
      <w:pPr>
        <w:spacing w:line="240" w:lineRule="auto"/>
      </w:pPr>
      <w:r>
        <w:separator/>
      </w:r>
    </w:p>
  </w:footnote>
  <w:footnote w:type="continuationSeparator" w:id="0">
    <w:p w14:paraId="36DDA1E2" w14:textId="77777777" w:rsidR="00E430FC" w:rsidRDefault="00E430FC" w:rsidP="0009546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72F96"/>
    <w:multiLevelType w:val="hybridMultilevel"/>
    <w:tmpl w:val="6A501D4A"/>
    <w:lvl w:ilvl="0" w:tplc="C0ECAD22">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8B36FEA"/>
    <w:multiLevelType w:val="multilevel"/>
    <w:tmpl w:val="A24CEB62"/>
    <w:numStyleLink w:val="GliederungAufzhlung"/>
  </w:abstractNum>
  <w:abstractNum w:abstractNumId="2" w15:restartNumberingAfterBreak="0">
    <w:nsid w:val="106E7132"/>
    <w:multiLevelType w:val="multilevel"/>
    <w:tmpl w:val="98080658"/>
    <w:styleLink w:val="GliederungNummerierung"/>
    <w:lvl w:ilvl="0">
      <w:start w:val="1"/>
      <w:numFmt w:val="decimal"/>
      <w:pStyle w:val="GliederungmitNummerierung"/>
      <w:lvlText w:val="%1"/>
      <w:lvlJc w:val="left"/>
      <w:pPr>
        <w:tabs>
          <w:tab w:val="num" w:pos="357"/>
        </w:tabs>
        <w:ind w:left="360" w:hanging="360"/>
      </w:pPr>
      <w:rPr>
        <w:rFonts w:asciiTheme="minorHAnsi" w:hAnsiTheme="minorHAnsi" w:hint="default"/>
        <w:sz w:val="22"/>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1440"/>
        </w:tabs>
        <w:ind w:left="2098" w:hanging="737"/>
      </w:pPr>
      <w:rPr>
        <w:rFonts w:hint="default"/>
      </w:rPr>
    </w:lvl>
    <w:lvl w:ilvl="4">
      <w:start w:val="1"/>
      <w:numFmt w:val="decimal"/>
      <w:lvlText w:val="%1.%2.%3.%4.%5"/>
      <w:lvlJc w:val="left"/>
      <w:pPr>
        <w:tabs>
          <w:tab w:val="num" w:pos="2098"/>
        </w:tabs>
        <w:ind w:left="3062" w:hanging="964"/>
      </w:pPr>
      <w:rPr>
        <w:rFonts w:hint="default"/>
      </w:rPr>
    </w:lvl>
    <w:lvl w:ilvl="5">
      <w:start w:val="1"/>
      <w:numFmt w:val="none"/>
      <w:lvlRestart w:val="0"/>
      <w:lvlText w:val=""/>
      <w:lvlJc w:val="left"/>
      <w:pPr>
        <w:ind w:left="0" w:firstLine="0"/>
      </w:pPr>
      <w:rPr>
        <w:rFonts w:hint="default"/>
      </w:rPr>
    </w:lvl>
    <w:lvl w:ilvl="6">
      <w:start w:val="1"/>
      <w:numFmt w:val="none"/>
      <w:lvlRestart w:val="0"/>
      <w:lvlText w:val="%7"/>
      <w:lvlJc w:val="left"/>
      <w:pPr>
        <w:ind w:left="0" w:firstLine="0"/>
      </w:pPr>
      <w:rPr>
        <w:rFonts w:hint="default"/>
      </w:rPr>
    </w:lvl>
    <w:lvl w:ilvl="7">
      <w:start w:val="1"/>
      <w:numFmt w:val="none"/>
      <w:lvlRestart w:val="0"/>
      <w:lvlText w:val="%8"/>
      <w:lvlJc w:val="left"/>
      <w:pPr>
        <w:ind w:left="0" w:firstLine="0"/>
      </w:pPr>
      <w:rPr>
        <w:rFonts w:hint="default"/>
      </w:rPr>
    </w:lvl>
    <w:lvl w:ilvl="8">
      <w:start w:val="1"/>
      <w:numFmt w:val="none"/>
      <w:lvlRestart w:val="0"/>
      <w:lvlText w:val="%9"/>
      <w:lvlJc w:val="left"/>
      <w:pPr>
        <w:ind w:left="0" w:firstLine="0"/>
      </w:pPr>
      <w:rPr>
        <w:rFonts w:hint="default"/>
      </w:rPr>
    </w:lvl>
  </w:abstractNum>
  <w:abstractNum w:abstractNumId="3" w15:restartNumberingAfterBreak="0">
    <w:nsid w:val="17670C10"/>
    <w:multiLevelType w:val="hybridMultilevel"/>
    <w:tmpl w:val="D7349BC2"/>
    <w:lvl w:ilvl="0" w:tplc="717E7552">
      <w:start w:val="1"/>
      <w:numFmt w:val="decimal"/>
      <w:pStyle w:val="Nummerierung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D336054"/>
    <w:multiLevelType w:val="hybridMultilevel"/>
    <w:tmpl w:val="6172EF3E"/>
    <w:lvl w:ilvl="0" w:tplc="6AFEFE52">
      <w:start w:val="1"/>
      <w:numFmt w:val="decimal"/>
      <w:pStyle w:val="Nummerierung1"/>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E0F2443"/>
    <w:multiLevelType w:val="multilevel"/>
    <w:tmpl w:val="A24CEB62"/>
    <w:numStyleLink w:val="GliederungAufzhlung"/>
  </w:abstractNum>
  <w:abstractNum w:abstractNumId="6" w15:restartNumberingAfterBreak="0">
    <w:nsid w:val="337E2D2C"/>
    <w:multiLevelType w:val="hybridMultilevel"/>
    <w:tmpl w:val="DFCE96C6"/>
    <w:lvl w:ilvl="0" w:tplc="980A441C">
      <w:start w:val="1"/>
      <w:numFmt w:val="bullet"/>
      <w:pStyle w:val="Aufzhlungszeichen2"/>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pStyle w:val="berschrift9"/>
      <w:lvlText w:val=""/>
      <w:lvlJc w:val="left"/>
      <w:pPr>
        <w:ind w:left="6480" w:hanging="360"/>
      </w:pPr>
      <w:rPr>
        <w:rFonts w:ascii="Wingdings" w:hAnsi="Wingdings" w:hint="default"/>
      </w:rPr>
    </w:lvl>
  </w:abstractNum>
  <w:abstractNum w:abstractNumId="7" w15:restartNumberingAfterBreak="0">
    <w:nsid w:val="368C61A1"/>
    <w:multiLevelType w:val="multilevel"/>
    <w:tmpl w:val="6EB82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6C7320E"/>
    <w:multiLevelType w:val="hybridMultilevel"/>
    <w:tmpl w:val="3EB0530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9D26677"/>
    <w:multiLevelType w:val="multilevel"/>
    <w:tmpl w:val="A24CEB62"/>
    <w:styleLink w:val="GliederungAufzhlung"/>
    <w:lvl w:ilvl="0">
      <w:start w:val="1"/>
      <w:numFmt w:val="bullet"/>
      <w:pStyle w:val="GliederungmitAufzhlung"/>
      <w:lvlText w:val=""/>
      <w:lvlJc w:val="left"/>
      <w:pPr>
        <w:tabs>
          <w:tab w:val="num" w:pos="284"/>
        </w:tabs>
        <w:ind w:left="284" w:hanging="284"/>
      </w:pPr>
      <w:rPr>
        <w:rFonts w:ascii="Symbol" w:hAnsi="Symbol" w:hint="default"/>
        <w:sz w:val="22"/>
      </w:rPr>
    </w:lvl>
    <w:lvl w:ilvl="1">
      <w:start w:val="1"/>
      <w:numFmt w:val="bullet"/>
      <w:lvlText w:val=""/>
      <w:lvlJc w:val="left"/>
      <w:pPr>
        <w:tabs>
          <w:tab w:val="num" w:pos="567"/>
        </w:tabs>
        <w:ind w:left="567" w:hanging="283"/>
      </w:pPr>
      <w:rPr>
        <w:rFonts w:ascii="Wingdings" w:hAnsi="Wingdings"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Wingdings" w:hAnsi="Wingdings" w:hint="default"/>
      </w:rPr>
    </w:lvl>
    <w:lvl w:ilvl="5">
      <w:start w:val="1"/>
      <w:numFmt w:val="bullet"/>
      <w:lvlText w:val=""/>
      <w:lvlJc w:val="left"/>
      <w:pPr>
        <w:tabs>
          <w:tab w:val="num" w:pos="1701"/>
        </w:tabs>
        <w:ind w:left="1701" w:hanging="283"/>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F817403"/>
    <w:multiLevelType w:val="multilevel"/>
    <w:tmpl w:val="911A36E0"/>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49302F4"/>
    <w:multiLevelType w:val="hybridMultilevel"/>
    <w:tmpl w:val="7D3E2156"/>
    <w:lvl w:ilvl="0" w:tplc="EA7C481A">
      <w:numFmt w:val="bullet"/>
      <w:lvlText w:val="•"/>
      <w:lvlJc w:val="left"/>
      <w:pPr>
        <w:ind w:left="720" w:hanging="360"/>
      </w:pPr>
      <w:rPr>
        <w:rFonts w:ascii="Arial" w:eastAsia="Times New Roman" w:hAnsi="Arial" w:cs="Arial" w:hint="default"/>
        <w:color w:val="0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CE65198"/>
    <w:multiLevelType w:val="hybridMultilevel"/>
    <w:tmpl w:val="D318C9F6"/>
    <w:lvl w:ilvl="0" w:tplc="7C4C06EE">
      <w:start w:val="1"/>
      <w:numFmt w:val="upperRoman"/>
      <w:pStyle w:val="Nummerierung3"/>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001700B"/>
    <w:multiLevelType w:val="multilevel"/>
    <w:tmpl w:val="3820B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E470AD"/>
    <w:multiLevelType w:val="multilevel"/>
    <w:tmpl w:val="B4B27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6663C3F"/>
    <w:multiLevelType w:val="hybridMultilevel"/>
    <w:tmpl w:val="B2F04386"/>
    <w:lvl w:ilvl="0" w:tplc="C2F8164C">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1832DDE"/>
    <w:multiLevelType w:val="hybridMultilevel"/>
    <w:tmpl w:val="3398B6E8"/>
    <w:lvl w:ilvl="0" w:tplc="294CD476">
      <w:numFmt w:val="bullet"/>
      <w:lvlText w:val="-"/>
      <w:lvlJc w:val="left"/>
      <w:pPr>
        <w:ind w:left="720" w:hanging="360"/>
      </w:pPr>
      <w:rPr>
        <w:rFonts w:ascii="Arial" w:eastAsiaTheme="minorHAnsi" w:hAnsi="Arial" w:cs="Arial" w:hint="default"/>
        <w:b/>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49E5352"/>
    <w:multiLevelType w:val="hybridMultilevel"/>
    <w:tmpl w:val="D9729186"/>
    <w:lvl w:ilvl="0" w:tplc="53C89F24">
      <w:start w:val="1"/>
      <w:numFmt w:val="bullet"/>
      <w:pStyle w:val="Aufzhlungszeichen3"/>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1F05DB6"/>
    <w:multiLevelType w:val="multilevel"/>
    <w:tmpl w:val="98080658"/>
    <w:numStyleLink w:val="GliederungNummerierung"/>
  </w:abstractNum>
  <w:abstractNum w:abstractNumId="19" w15:restartNumberingAfterBreak="0">
    <w:nsid w:val="746D5400"/>
    <w:multiLevelType w:val="hybridMultilevel"/>
    <w:tmpl w:val="17C64B84"/>
    <w:lvl w:ilvl="0" w:tplc="31ACDECC">
      <w:start w:val="1"/>
      <w:numFmt w:val="lowerLetter"/>
      <w:pStyle w:val="Nummerierung4"/>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603419030">
    <w:abstractNumId w:val="6"/>
  </w:num>
  <w:num w:numId="2" w16cid:durableId="350104403">
    <w:abstractNumId w:val="17"/>
  </w:num>
  <w:num w:numId="3" w16cid:durableId="1116560618">
    <w:abstractNumId w:val="6"/>
  </w:num>
  <w:num w:numId="4" w16cid:durableId="18092668">
    <w:abstractNumId w:val="2"/>
  </w:num>
  <w:num w:numId="5" w16cid:durableId="636686388">
    <w:abstractNumId w:val="9"/>
  </w:num>
  <w:num w:numId="6" w16cid:durableId="1216038782">
    <w:abstractNumId w:val="10"/>
  </w:num>
  <w:num w:numId="7" w16cid:durableId="949557135">
    <w:abstractNumId w:val="15"/>
  </w:num>
  <w:num w:numId="8" w16cid:durableId="485435685">
    <w:abstractNumId w:val="6"/>
  </w:num>
  <w:num w:numId="9" w16cid:durableId="1044212223">
    <w:abstractNumId w:val="17"/>
  </w:num>
  <w:num w:numId="10" w16cid:durableId="365299395">
    <w:abstractNumId w:val="4"/>
  </w:num>
  <w:num w:numId="11" w16cid:durableId="553663094">
    <w:abstractNumId w:val="3"/>
  </w:num>
  <w:num w:numId="12" w16cid:durableId="613512391">
    <w:abstractNumId w:val="12"/>
  </w:num>
  <w:num w:numId="13" w16cid:durableId="79764706">
    <w:abstractNumId w:val="19"/>
  </w:num>
  <w:num w:numId="14" w16cid:durableId="911502647">
    <w:abstractNumId w:val="1"/>
  </w:num>
  <w:num w:numId="15" w16cid:durableId="1589803529">
    <w:abstractNumId w:val="5"/>
  </w:num>
  <w:num w:numId="16" w16cid:durableId="1244072129">
    <w:abstractNumId w:val="18"/>
  </w:num>
  <w:num w:numId="17" w16cid:durableId="1419132285">
    <w:abstractNumId w:val="0"/>
  </w:num>
  <w:num w:numId="18" w16cid:durableId="626813700">
    <w:abstractNumId w:val="16"/>
  </w:num>
  <w:num w:numId="19" w16cid:durableId="563296780">
    <w:abstractNumId w:val="8"/>
  </w:num>
  <w:num w:numId="20" w16cid:durableId="1326973851">
    <w:abstractNumId w:val="11"/>
  </w:num>
  <w:num w:numId="21" w16cid:durableId="1995063140">
    <w:abstractNumId w:val="7"/>
  </w:num>
  <w:num w:numId="22" w16cid:durableId="1848982354">
    <w:abstractNumId w:val="13"/>
  </w:num>
  <w:num w:numId="23" w16cid:durableId="1003554924">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en-US" w:vendorID="64" w:dllVersion="6" w:nlCheck="1" w:checkStyle="1"/>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30A"/>
    <w:rsid w:val="000105AE"/>
    <w:rsid w:val="000125F3"/>
    <w:rsid w:val="00044D3E"/>
    <w:rsid w:val="00051B16"/>
    <w:rsid w:val="00081F5E"/>
    <w:rsid w:val="00085C2A"/>
    <w:rsid w:val="00095460"/>
    <w:rsid w:val="000969F2"/>
    <w:rsid w:val="000A2221"/>
    <w:rsid w:val="000C3BC5"/>
    <w:rsid w:val="000C4945"/>
    <w:rsid w:val="000E6732"/>
    <w:rsid w:val="000E79EA"/>
    <w:rsid w:val="00104B72"/>
    <w:rsid w:val="00111E32"/>
    <w:rsid w:val="001652B1"/>
    <w:rsid w:val="001969A3"/>
    <w:rsid w:val="00197F42"/>
    <w:rsid w:val="001A4B4F"/>
    <w:rsid w:val="001C0CD3"/>
    <w:rsid w:val="001C43A8"/>
    <w:rsid w:val="001E3D68"/>
    <w:rsid w:val="001E4D31"/>
    <w:rsid w:val="00205918"/>
    <w:rsid w:val="00226461"/>
    <w:rsid w:val="0026552F"/>
    <w:rsid w:val="002C29E8"/>
    <w:rsid w:val="002E5B7A"/>
    <w:rsid w:val="00305C7B"/>
    <w:rsid w:val="003126B1"/>
    <w:rsid w:val="003254B7"/>
    <w:rsid w:val="00335539"/>
    <w:rsid w:val="00356A09"/>
    <w:rsid w:val="00383ABE"/>
    <w:rsid w:val="00396F5D"/>
    <w:rsid w:val="003C2272"/>
    <w:rsid w:val="003F15B2"/>
    <w:rsid w:val="003F6908"/>
    <w:rsid w:val="0041247F"/>
    <w:rsid w:val="00414473"/>
    <w:rsid w:val="00415C37"/>
    <w:rsid w:val="00445617"/>
    <w:rsid w:val="00496DDC"/>
    <w:rsid w:val="004B1D40"/>
    <w:rsid w:val="0052472D"/>
    <w:rsid w:val="00577000"/>
    <w:rsid w:val="00591D34"/>
    <w:rsid w:val="005A0961"/>
    <w:rsid w:val="005B045E"/>
    <w:rsid w:val="005B06AA"/>
    <w:rsid w:val="005C3016"/>
    <w:rsid w:val="00616078"/>
    <w:rsid w:val="006174CD"/>
    <w:rsid w:val="00626623"/>
    <w:rsid w:val="0062682C"/>
    <w:rsid w:val="0063245A"/>
    <w:rsid w:val="006501D3"/>
    <w:rsid w:val="00655795"/>
    <w:rsid w:val="00656C0E"/>
    <w:rsid w:val="00670F23"/>
    <w:rsid w:val="006A4CDC"/>
    <w:rsid w:val="006B69A9"/>
    <w:rsid w:val="006C4895"/>
    <w:rsid w:val="006E3800"/>
    <w:rsid w:val="006F6FAE"/>
    <w:rsid w:val="00705C2A"/>
    <w:rsid w:val="00715FB6"/>
    <w:rsid w:val="00716CC5"/>
    <w:rsid w:val="00720296"/>
    <w:rsid w:val="00721B6D"/>
    <w:rsid w:val="007304BA"/>
    <w:rsid w:val="00734947"/>
    <w:rsid w:val="00734DA3"/>
    <w:rsid w:val="00734F4D"/>
    <w:rsid w:val="00745601"/>
    <w:rsid w:val="00745A3C"/>
    <w:rsid w:val="007C0E8B"/>
    <w:rsid w:val="007E2252"/>
    <w:rsid w:val="007F28A4"/>
    <w:rsid w:val="007F368A"/>
    <w:rsid w:val="00807359"/>
    <w:rsid w:val="0081585E"/>
    <w:rsid w:val="00854305"/>
    <w:rsid w:val="0086558B"/>
    <w:rsid w:val="00894C55"/>
    <w:rsid w:val="008A547B"/>
    <w:rsid w:val="008B4363"/>
    <w:rsid w:val="008C0B69"/>
    <w:rsid w:val="008F3D60"/>
    <w:rsid w:val="0090705F"/>
    <w:rsid w:val="00914247"/>
    <w:rsid w:val="00933A2A"/>
    <w:rsid w:val="00942D2D"/>
    <w:rsid w:val="00946F1F"/>
    <w:rsid w:val="009560B3"/>
    <w:rsid w:val="00956D03"/>
    <w:rsid w:val="0098753B"/>
    <w:rsid w:val="00990FEF"/>
    <w:rsid w:val="00993B35"/>
    <w:rsid w:val="009B29D3"/>
    <w:rsid w:val="00A36012"/>
    <w:rsid w:val="00A7052D"/>
    <w:rsid w:val="00A71A65"/>
    <w:rsid w:val="00A72331"/>
    <w:rsid w:val="00A928A1"/>
    <w:rsid w:val="00AA1006"/>
    <w:rsid w:val="00AA1C29"/>
    <w:rsid w:val="00AB0861"/>
    <w:rsid w:val="00AE5AED"/>
    <w:rsid w:val="00B04EE8"/>
    <w:rsid w:val="00B2300E"/>
    <w:rsid w:val="00B32740"/>
    <w:rsid w:val="00B40D10"/>
    <w:rsid w:val="00B762B8"/>
    <w:rsid w:val="00B77797"/>
    <w:rsid w:val="00BA67A4"/>
    <w:rsid w:val="00BD6438"/>
    <w:rsid w:val="00BE564E"/>
    <w:rsid w:val="00BF3E96"/>
    <w:rsid w:val="00BF517F"/>
    <w:rsid w:val="00C14576"/>
    <w:rsid w:val="00C15C85"/>
    <w:rsid w:val="00C25A4B"/>
    <w:rsid w:val="00C821B7"/>
    <w:rsid w:val="00CB4C5E"/>
    <w:rsid w:val="00CD1382"/>
    <w:rsid w:val="00CD2426"/>
    <w:rsid w:val="00D017C5"/>
    <w:rsid w:val="00D14F9A"/>
    <w:rsid w:val="00D573C7"/>
    <w:rsid w:val="00D63286"/>
    <w:rsid w:val="00D8297A"/>
    <w:rsid w:val="00D834B3"/>
    <w:rsid w:val="00D965FA"/>
    <w:rsid w:val="00DC6826"/>
    <w:rsid w:val="00DE1A81"/>
    <w:rsid w:val="00DF6397"/>
    <w:rsid w:val="00E41796"/>
    <w:rsid w:val="00E430FC"/>
    <w:rsid w:val="00E57D8C"/>
    <w:rsid w:val="00E663CE"/>
    <w:rsid w:val="00E97B3B"/>
    <w:rsid w:val="00EB6B7D"/>
    <w:rsid w:val="00EC03F5"/>
    <w:rsid w:val="00ED448C"/>
    <w:rsid w:val="00EF1EC2"/>
    <w:rsid w:val="00EF5022"/>
    <w:rsid w:val="00EF7FEA"/>
    <w:rsid w:val="00F02B88"/>
    <w:rsid w:val="00F1030A"/>
    <w:rsid w:val="00F20727"/>
    <w:rsid w:val="00F33611"/>
    <w:rsid w:val="00F3773D"/>
    <w:rsid w:val="00F55257"/>
    <w:rsid w:val="00F65397"/>
    <w:rsid w:val="00F71EAC"/>
    <w:rsid w:val="00F77774"/>
    <w:rsid w:val="00F9151D"/>
    <w:rsid w:val="00FB226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31728"/>
  <w15:docId w15:val="{A3C2B0C8-6169-4557-B8C2-6A10353FF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page number"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5B7A"/>
    <w:pPr>
      <w:spacing w:after="0" w:line="312" w:lineRule="auto"/>
    </w:pPr>
  </w:style>
  <w:style w:type="paragraph" w:styleId="berschrift1">
    <w:name w:val="heading 1"/>
    <w:basedOn w:val="Standard"/>
    <w:next w:val="Standard"/>
    <w:link w:val="berschrift1Zchn"/>
    <w:uiPriority w:val="9"/>
    <w:qFormat/>
    <w:rsid w:val="008F3D60"/>
    <w:pPr>
      <w:keepNext/>
      <w:numPr>
        <w:numId w:val="6"/>
      </w:numPr>
      <w:tabs>
        <w:tab w:val="left" w:pos="1134"/>
      </w:tabs>
      <w:spacing w:before="360" w:after="180" w:line="240" w:lineRule="auto"/>
      <w:ind w:left="1134" w:hanging="1134"/>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8F3D60"/>
    <w:pPr>
      <w:keepLines/>
      <w:numPr>
        <w:ilvl w:val="1"/>
      </w:numPr>
      <w:spacing w:before="240" w:after="120"/>
      <w:ind w:left="1134" w:hanging="1134"/>
      <w:outlineLvl w:val="1"/>
    </w:pPr>
    <w:rPr>
      <w:sz w:val="24"/>
      <w:szCs w:val="26"/>
    </w:rPr>
  </w:style>
  <w:style w:type="paragraph" w:styleId="berschrift3">
    <w:name w:val="heading 3"/>
    <w:basedOn w:val="berschrift2"/>
    <w:next w:val="Standard"/>
    <w:link w:val="berschrift3Zchn"/>
    <w:uiPriority w:val="9"/>
    <w:qFormat/>
    <w:rsid w:val="008F3D60"/>
    <w:pPr>
      <w:numPr>
        <w:ilvl w:val="2"/>
      </w:numPr>
      <w:spacing w:before="180"/>
      <w:ind w:left="1134" w:hanging="1134"/>
      <w:outlineLvl w:val="2"/>
    </w:pPr>
    <w:rPr>
      <w:rFonts w:asciiTheme="minorHAnsi" w:hAnsiTheme="minorHAnsi"/>
      <w:sz w:val="22"/>
      <w:szCs w:val="24"/>
    </w:rPr>
  </w:style>
  <w:style w:type="paragraph" w:styleId="berschrift4">
    <w:name w:val="heading 4"/>
    <w:basedOn w:val="berschrift3"/>
    <w:next w:val="Standard"/>
    <w:link w:val="berschrift4Zchn"/>
    <w:uiPriority w:val="9"/>
    <w:qFormat/>
    <w:rsid w:val="008F3D60"/>
    <w:pPr>
      <w:numPr>
        <w:ilvl w:val="3"/>
      </w:numPr>
      <w:spacing w:before="160"/>
      <w:ind w:left="1134" w:hanging="1134"/>
      <w:outlineLvl w:val="3"/>
    </w:pPr>
    <w:rPr>
      <w:i/>
      <w:iCs/>
    </w:rPr>
  </w:style>
  <w:style w:type="paragraph" w:styleId="berschrift5">
    <w:name w:val="heading 5"/>
    <w:basedOn w:val="Standard"/>
    <w:next w:val="Standard"/>
    <w:link w:val="berschrift5Zchn"/>
    <w:uiPriority w:val="9"/>
    <w:qFormat/>
    <w:rsid w:val="008F3D60"/>
    <w:pPr>
      <w:keepNext/>
      <w:keepLines/>
      <w:numPr>
        <w:ilvl w:val="4"/>
        <w:numId w:val="6"/>
      </w:numPr>
      <w:spacing w:before="140" w:after="120" w:line="240" w:lineRule="auto"/>
      <w:ind w:left="1134" w:hanging="1134"/>
      <w:outlineLvl w:val="4"/>
    </w:pPr>
    <w:rPr>
      <w:rFonts w:eastAsiaTheme="majorEastAsia" w:cstheme="majorBidi"/>
      <w:b/>
      <w:i/>
    </w:rPr>
  </w:style>
  <w:style w:type="paragraph" w:styleId="berschrift6">
    <w:name w:val="heading 6"/>
    <w:basedOn w:val="Standard"/>
    <w:next w:val="Standard"/>
    <w:link w:val="berschrift6Zchn"/>
    <w:uiPriority w:val="9"/>
    <w:semiHidden/>
    <w:qFormat/>
    <w:rsid w:val="002E5B7A"/>
    <w:pPr>
      <w:keepNext/>
      <w:keepLines/>
      <w:numPr>
        <w:ilvl w:val="5"/>
        <w:numId w:val="6"/>
      </w:numPr>
      <w:spacing w:before="40"/>
      <w:outlineLvl w:val="5"/>
    </w:pPr>
    <w:rPr>
      <w:rFonts w:asciiTheme="majorHAnsi" w:eastAsiaTheme="majorEastAsia" w:hAnsiTheme="majorHAnsi" w:cstheme="majorBidi"/>
      <w:color w:val="003050" w:themeColor="accent1" w:themeShade="7F"/>
    </w:rPr>
  </w:style>
  <w:style w:type="paragraph" w:styleId="berschrift7">
    <w:name w:val="heading 7"/>
    <w:basedOn w:val="Standard"/>
    <w:next w:val="Standard"/>
    <w:link w:val="berschrift7Zchn"/>
    <w:uiPriority w:val="9"/>
    <w:semiHidden/>
    <w:unhideWhenUsed/>
    <w:qFormat/>
    <w:rsid w:val="002E5B7A"/>
    <w:pPr>
      <w:keepNext/>
      <w:keepLines/>
      <w:numPr>
        <w:ilvl w:val="6"/>
        <w:numId w:val="6"/>
      </w:numPr>
      <w:spacing w:before="40"/>
      <w:outlineLvl w:val="6"/>
    </w:pPr>
    <w:rPr>
      <w:rFonts w:asciiTheme="majorHAnsi" w:eastAsiaTheme="majorEastAsia" w:hAnsiTheme="majorHAnsi" w:cstheme="majorBidi"/>
      <w:i/>
      <w:iCs/>
      <w:color w:val="003050" w:themeColor="accent1" w:themeShade="7F"/>
    </w:rPr>
  </w:style>
  <w:style w:type="paragraph" w:styleId="berschrift8">
    <w:name w:val="heading 8"/>
    <w:basedOn w:val="Standard"/>
    <w:next w:val="Standard"/>
    <w:link w:val="berschrift8Zchn"/>
    <w:uiPriority w:val="9"/>
    <w:semiHidden/>
    <w:unhideWhenUsed/>
    <w:qFormat/>
    <w:rsid w:val="002E5B7A"/>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E5B7A"/>
    <w:pPr>
      <w:keepNext/>
      <w:keepLines/>
      <w:numPr>
        <w:ilvl w:val="8"/>
        <w:numId w:val="3"/>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1"/>
    <w:basedOn w:val="Standard"/>
    <w:qFormat/>
    <w:rsid w:val="008F3D60"/>
    <w:pPr>
      <w:numPr>
        <w:numId w:val="7"/>
      </w:numPr>
      <w:spacing w:after="120"/>
      <w:ind w:left="357" w:hanging="357"/>
    </w:pPr>
  </w:style>
  <w:style w:type="paragraph" w:customStyle="1" w:styleId="Aufzhlungszeichen2">
    <w:name w:val="Aufzählungszeichen2"/>
    <w:basedOn w:val="Standard"/>
    <w:qFormat/>
    <w:rsid w:val="002E5B7A"/>
    <w:pPr>
      <w:numPr>
        <w:numId w:val="8"/>
      </w:numPr>
      <w:spacing w:after="120"/>
    </w:pPr>
  </w:style>
  <w:style w:type="paragraph" w:customStyle="1" w:styleId="Aufzhlungszeichen3">
    <w:name w:val="Aufzählungszeichen3"/>
    <w:basedOn w:val="Standard"/>
    <w:qFormat/>
    <w:rsid w:val="002E5B7A"/>
    <w:pPr>
      <w:numPr>
        <w:numId w:val="9"/>
      </w:numPr>
      <w:spacing w:after="120"/>
    </w:pPr>
  </w:style>
  <w:style w:type="paragraph" w:customStyle="1" w:styleId="HngEinrckung1">
    <w:name w:val="Häng.Einrückung1"/>
    <w:basedOn w:val="Standard"/>
    <w:rsid w:val="000969F2"/>
    <w:pPr>
      <w:ind w:left="567" w:hanging="567"/>
    </w:pPr>
  </w:style>
  <w:style w:type="paragraph" w:customStyle="1" w:styleId="HngEinrckung2">
    <w:name w:val="Häng.Einrückung2"/>
    <w:basedOn w:val="HngEinrckung1"/>
    <w:rsid w:val="000969F2"/>
    <w:pPr>
      <w:ind w:left="1134"/>
    </w:pPr>
  </w:style>
  <w:style w:type="paragraph" w:customStyle="1" w:styleId="HngEinrckung3">
    <w:name w:val="Häng.Einrückung3"/>
    <w:basedOn w:val="HngEinrckung2"/>
    <w:rsid w:val="000969F2"/>
    <w:pPr>
      <w:ind w:left="1701"/>
    </w:pPr>
  </w:style>
  <w:style w:type="paragraph" w:customStyle="1" w:styleId="Nummerierung1">
    <w:name w:val="Nummerierung1"/>
    <w:basedOn w:val="Standard"/>
    <w:qFormat/>
    <w:rsid w:val="008F3D60"/>
    <w:pPr>
      <w:numPr>
        <w:numId w:val="10"/>
      </w:numPr>
      <w:spacing w:after="120"/>
      <w:ind w:left="357" w:hanging="357"/>
    </w:pPr>
  </w:style>
  <w:style w:type="paragraph" w:customStyle="1" w:styleId="Nummerierung2">
    <w:name w:val="Nummerierung2"/>
    <w:basedOn w:val="Standard"/>
    <w:qFormat/>
    <w:rsid w:val="008F3D60"/>
    <w:pPr>
      <w:numPr>
        <w:numId w:val="11"/>
      </w:numPr>
      <w:spacing w:after="120"/>
      <w:ind w:left="357" w:hanging="357"/>
    </w:pPr>
  </w:style>
  <w:style w:type="paragraph" w:customStyle="1" w:styleId="Nummerierung3">
    <w:name w:val="Nummerierung3"/>
    <w:basedOn w:val="Standard"/>
    <w:qFormat/>
    <w:rsid w:val="002E5B7A"/>
    <w:pPr>
      <w:numPr>
        <w:numId w:val="12"/>
      </w:numPr>
      <w:spacing w:after="120"/>
    </w:pPr>
  </w:style>
  <w:style w:type="paragraph" w:customStyle="1" w:styleId="Nummerierung4">
    <w:name w:val="Nummerierung4"/>
    <w:basedOn w:val="Standard"/>
    <w:qFormat/>
    <w:rsid w:val="00946F1F"/>
    <w:pPr>
      <w:numPr>
        <w:numId w:val="13"/>
      </w:numPr>
      <w:spacing w:after="120"/>
      <w:ind w:left="357" w:hanging="357"/>
    </w:pPr>
  </w:style>
  <w:style w:type="paragraph" w:styleId="Endnotentext">
    <w:name w:val="endnote text"/>
    <w:basedOn w:val="Standard"/>
    <w:link w:val="EndnotentextZchn"/>
    <w:uiPriority w:val="99"/>
    <w:rsid w:val="00807359"/>
    <w:pPr>
      <w:spacing w:before="20" w:line="180" w:lineRule="exact"/>
      <w:ind w:left="142" w:hanging="142"/>
    </w:pPr>
    <w:rPr>
      <w:sz w:val="16"/>
      <w:szCs w:val="20"/>
    </w:rPr>
  </w:style>
  <w:style w:type="character" w:customStyle="1" w:styleId="EndnotentextZchn">
    <w:name w:val="Endnotentext Zchn"/>
    <w:basedOn w:val="Absatz-Standardschriftart"/>
    <w:link w:val="Endnotentext"/>
    <w:uiPriority w:val="99"/>
    <w:rsid w:val="00807359"/>
    <w:rPr>
      <w:sz w:val="16"/>
      <w:szCs w:val="20"/>
    </w:rPr>
  </w:style>
  <w:style w:type="paragraph" w:styleId="Funotentext">
    <w:name w:val="footnote text"/>
    <w:basedOn w:val="Standard"/>
    <w:link w:val="FunotentextZchn"/>
    <w:uiPriority w:val="99"/>
    <w:rsid w:val="001969A3"/>
    <w:pPr>
      <w:spacing w:before="20" w:line="180" w:lineRule="exact"/>
      <w:ind w:left="142" w:hanging="142"/>
    </w:pPr>
    <w:rPr>
      <w:sz w:val="16"/>
      <w:szCs w:val="20"/>
    </w:rPr>
  </w:style>
  <w:style w:type="character" w:customStyle="1" w:styleId="FunotentextZchn">
    <w:name w:val="Fußnotentext Zchn"/>
    <w:basedOn w:val="Absatz-Standardschriftart"/>
    <w:link w:val="Funotentext"/>
    <w:uiPriority w:val="99"/>
    <w:rsid w:val="001969A3"/>
    <w:rPr>
      <w:sz w:val="16"/>
      <w:szCs w:val="20"/>
    </w:rPr>
  </w:style>
  <w:style w:type="character" w:styleId="Endnotenzeichen">
    <w:name w:val="endnote reference"/>
    <w:basedOn w:val="Absatz-Standardschriftart"/>
    <w:uiPriority w:val="99"/>
    <w:rsid w:val="00095460"/>
    <w:rPr>
      <w:rFonts w:asciiTheme="minorHAnsi" w:hAnsiTheme="minorHAnsi"/>
      <w:position w:val="4"/>
      <w:sz w:val="12"/>
      <w:vertAlign w:val="baseline"/>
    </w:rPr>
  </w:style>
  <w:style w:type="character" w:styleId="Funotenzeichen">
    <w:name w:val="footnote reference"/>
    <w:basedOn w:val="Absatz-Standardschriftart"/>
    <w:uiPriority w:val="99"/>
    <w:rsid w:val="001969A3"/>
    <w:rPr>
      <w:rFonts w:asciiTheme="minorHAnsi" w:hAnsiTheme="minorHAnsi"/>
      <w:position w:val="4"/>
      <w:sz w:val="12"/>
      <w:vertAlign w:val="superscript"/>
    </w:rPr>
  </w:style>
  <w:style w:type="paragraph" w:styleId="Fuzeile">
    <w:name w:val="footer"/>
    <w:basedOn w:val="Standard"/>
    <w:link w:val="FuzeileZchn"/>
    <w:uiPriority w:val="99"/>
    <w:rsid w:val="001969A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969A3"/>
  </w:style>
  <w:style w:type="character" w:styleId="Hyperlink">
    <w:name w:val="Hyperlink"/>
    <w:basedOn w:val="Absatz-Standardschriftart"/>
    <w:uiPriority w:val="99"/>
    <w:rsid w:val="001969A3"/>
    <w:rPr>
      <w:color w:val="7C93C3" w:themeColor="hyperlink"/>
      <w:u w:val="single"/>
    </w:rPr>
  </w:style>
  <w:style w:type="paragraph" w:customStyle="1" w:styleId="Marginalspalte">
    <w:name w:val="Marginalspalte"/>
    <w:basedOn w:val="Standard"/>
    <w:next w:val="Standard"/>
    <w:rsid w:val="001969A3"/>
    <w:pPr>
      <w:framePr w:w="851" w:h="851" w:hRule="exact" w:hSpace="284" w:wrap="around" w:vAnchor="text" w:hAnchor="page" w:y="1"/>
      <w:spacing w:line="240" w:lineRule="auto"/>
    </w:pPr>
    <w:rPr>
      <w:i/>
      <w:sz w:val="20"/>
    </w:rPr>
  </w:style>
  <w:style w:type="numbering" w:customStyle="1" w:styleId="GliederungNummerierung">
    <w:name w:val="GliederungNummerierung"/>
    <w:uiPriority w:val="99"/>
    <w:rsid w:val="00396F5D"/>
    <w:pPr>
      <w:numPr>
        <w:numId w:val="4"/>
      </w:numPr>
    </w:pPr>
  </w:style>
  <w:style w:type="paragraph" w:customStyle="1" w:styleId="GliederungmitNummerierung">
    <w:name w:val="Gliederung mit Nummerierung"/>
    <w:basedOn w:val="Listenabsatz"/>
    <w:link w:val="GliederungmitNummerierungZchn"/>
    <w:qFormat/>
    <w:rsid w:val="003F15B2"/>
    <w:pPr>
      <w:numPr>
        <w:numId w:val="16"/>
      </w:numPr>
    </w:pPr>
  </w:style>
  <w:style w:type="numbering" w:customStyle="1" w:styleId="GliederungAufzhlung">
    <w:name w:val="GliederungAufzählung"/>
    <w:uiPriority w:val="99"/>
    <w:rsid w:val="00AB0861"/>
    <w:pPr>
      <w:numPr>
        <w:numId w:val="5"/>
      </w:numPr>
    </w:pPr>
  </w:style>
  <w:style w:type="character" w:customStyle="1" w:styleId="GliederungmitNummerierungZchn">
    <w:name w:val="Gliederung mit Nummerierung Zchn"/>
    <w:basedOn w:val="Absatz-Standardschriftart"/>
    <w:link w:val="GliederungmitNummerierung"/>
    <w:rsid w:val="003F15B2"/>
  </w:style>
  <w:style w:type="paragraph" w:styleId="Listenabsatz">
    <w:name w:val="List Paragraph"/>
    <w:basedOn w:val="Standard"/>
    <w:link w:val="ListenabsatzZchn"/>
    <w:uiPriority w:val="34"/>
    <w:semiHidden/>
    <w:qFormat/>
    <w:rsid w:val="002E5B7A"/>
    <w:pPr>
      <w:ind w:left="720"/>
      <w:contextualSpacing/>
    </w:pPr>
  </w:style>
  <w:style w:type="paragraph" w:customStyle="1" w:styleId="GliederungmitAufzhlung">
    <w:name w:val="Gliederung mit Aufzählung"/>
    <w:basedOn w:val="Listenabsatz"/>
    <w:link w:val="GliederungmitAufzhlungZchn"/>
    <w:qFormat/>
    <w:rsid w:val="00335539"/>
    <w:pPr>
      <w:numPr>
        <w:numId w:val="15"/>
      </w:numPr>
    </w:pPr>
  </w:style>
  <w:style w:type="character" w:customStyle="1" w:styleId="ListenabsatzZchn">
    <w:name w:val="Listenabsatz Zchn"/>
    <w:basedOn w:val="Absatz-Standardschriftart"/>
    <w:link w:val="Listenabsatz"/>
    <w:uiPriority w:val="34"/>
    <w:semiHidden/>
    <w:rsid w:val="002E5B7A"/>
  </w:style>
  <w:style w:type="character" w:customStyle="1" w:styleId="GliederungmitAufzhlungZchn">
    <w:name w:val="Gliederung mit Aufzählung Zchn"/>
    <w:basedOn w:val="ListenabsatzZchn"/>
    <w:link w:val="GliederungmitAufzhlung"/>
    <w:rsid w:val="00335539"/>
  </w:style>
  <w:style w:type="character" w:customStyle="1" w:styleId="berschrift1Zchn">
    <w:name w:val="Überschrift 1 Zchn"/>
    <w:basedOn w:val="Absatz-Standardschriftart"/>
    <w:link w:val="berschrift1"/>
    <w:uiPriority w:val="9"/>
    <w:rsid w:val="008F3D60"/>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8F3D60"/>
    <w:rPr>
      <w:rFonts w:asciiTheme="majorHAnsi" w:eastAsiaTheme="majorEastAsia" w:hAnsiTheme="majorHAnsi" w:cstheme="majorBidi"/>
      <w:b/>
      <w:sz w:val="24"/>
      <w:szCs w:val="26"/>
    </w:rPr>
  </w:style>
  <w:style w:type="character" w:customStyle="1" w:styleId="berschrift3Zchn">
    <w:name w:val="Überschrift 3 Zchn"/>
    <w:basedOn w:val="Absatz-Standardschriftart"/>
    <w:link w:val="berschrift3"/>
    <w:uiPriority w:val="9"/>
    <w:rsid w:val="008F3D60"/>
    <w:rPr>
      <w:rFonts w:eastAsiaTheme="majorEastAsia" w:cstheme="majorBidi"/>
      <w:b/>
      <w:szCs w:val="24"/>
    </w:rPr>
  </w:style>
  <w:style w:type="character" w:customStyle="1" w:styleId="berschrift4Zchn">
    <w:name w:val="Überschrift 4 Zchn"/>
    <w:basedOn w:val="Absatz-Standardschriftart"/>
    <w:link w:val="berschrift4"/>
    <w:uiPriority w:val="9"/>
    <w:rsid w:val="008F3D60"/>
    <w:rPr>
      <w:rFonts w:eastAsiaTheme="majorEastAsia" w:cstheme="majorBidi"/>
      <w:b/>
      <w:i/>
      <w:iCs/>
      <w:szCs w:val="24"/>
    </w:rPr>
  </w:style>
  <w:style w:type="character" w:customStyle="1" w:styleId="berschrift5Zchn">
    <w:name w:val="Überschrift 5 Zchn"/>
    <w:basedOn w:val="Absatz-Standardschriftart"/>
    <w:link w:val="berschrift5"/>
    <w:uiPriority w:val="9"/>
    <w:rsid w:val="008F3D60"/>
    <w:rPr>
      <w:rFonts w:eastAsiaTheme="majorEastAsia" w:cstheme="majorBidi"/>
      <w:b/>
      <w:i/>
    </w:rPr>
  </w:style>
  <w:style w:type="character" w:customStyle="1" w:styleId="berschrift6Zchn">
    <w:name w:val="Überschrift 6 Zchn"/>
    <w:basedOn w:val="Absatz-Standardschriftart"/>
    <w:link w:val="berschrift6"/>
    <w:uiPriority w:val="9"/>
    <w:semiHidden/>
    <w:rsid w:val="002E5B7A"/>
    <w:rPr>
      <w:rFonts w:asciiTheme="majorHAnsi" w:eastAsiaTheme="majorEastAsia" w:hAnsiTheme="majorHAnsi" w:cstheme="majorBidi"/>
      <w:color w:val="003050" w:themeColor="accent1" w:themeShade="7F"/>
    </w:rPr>
  </w:style>
  <w:style w:type="character" w:customStyle="1" w:styleId="berschrift7Zchn">
    <w:name w:val="Überschrift 7 Zchn"/>
    <w:basedOn w:val="Absatz-Standardschriftart"/>
    <w:link w:val="berschrift7"/>
    <w:uiPriority w:val="9"/>
    <w:semiHidden/>
    <w:rsid w:val="002E5B7A"/>
    <w:rPr>
      <w:rFonts w:asciiTheme="majorHAnsi" w:eastAsiaTheme="majorEastAsia" w:hAnsiTheme="majorHAnsi" w:cstheme="majorBidi"/>
      <w:i/>
      <w:iCs/>
      <w:color w:val="003050" w:themeColor="accent1" w:themeShade="7F"/>
    </w:rPr>
  </w:style>
  <w:style w:type="character" w:customStyle="1" w:styleId="berschrift8Zchn">
    <w:name w:val="Überschrift 8 Zchn"/>
    <w:basedOn w:val="Absatz-Standardschriftart"/>
    <w:link w:val="berschrift8"/>
    <w:uiPriority w:val="9"/>
    <w:semiHidden/>
    <w:rsid w:val="002E5B7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E5B7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rsid w:val="00C15C85"/>
    <w:pPr>
      <w:tabs>
        <w:tab w:val="left" w:pos="794"/>
        <w:tab w:val="right" w:leader="dot" w:pos="9072"/>
      </w:tabs>
      <w:spacing w:before="120" w:after="120" w:line="240" w:lineRule="auto"/>
      <w:ind w:left="794" w:hanging="794"/>
    </w:pPr>
    <w:rPr>
      <w:b/>
      <w:smallCaps/>
      <w:sz w:val="24"/>
    </w:rPr>
  </w:style>
  <w:style w:type="paragraph" w:styleId="Verzeichnis2">
    <w:name w:val="toc 2"/>
    <w:basedOn w:val="Verzeichnis1"/>
    <w:next w:val="Standard"/>
    <w:autoRedefine/>
    <w:uiPriority w:val="39"/>
    <w:rsid w:val="00C15C85"/>
    <w:pPr>
      <w:spacing w:after="60"/>
    </w:pPr>
    <w:rPr>
      <w:sz w:val="22"/>
    </w:rPr>
  </w:style>
  <w:style w:type="paragraph" w:styleId="Verzeichnis3">
    <w:name w:val="toc 3"/>
    <w:basedOn w:val="Verzeichnis2"/>
    <w:next w:val="Standard"/>
    <w:autoRedefine/>
    <w:uiPriority w:val="39"/>
    <w:rsid w:val="00C15C85"/>
    <w:rPr>
      <w:b w:val="0"/>
      <w:noProof/>
      <w:sz w:val="20"/>
    </w:rPr>
  </w:style>
  <w:style w:type="paragraph" w:styleId="Verzeichnis4">
    <w:name w:val="toc 4"/>
    <w:basedOn w:val="Verzeichnis3"/>
    <w:next w:val="Standard"/>
    <w:autoRedefine/>
    <w:uiPriority w:val="39"/>
    <w:rsid w:val="00C15C85"/>
    <w:pPr>
      <w:spacing w:after="40"/>
    </w:pPr>
    <w:rPr>
      <w:sz w:val="18"/>
    </w:rPr>
  </w:style>
  <w:style w:type="paragraph" w:styleId="Verzeichnis5">
    <w:name w:val="toc 5"/>
    <w:basedOn w:val="Verzeichnis4"/>
    <w:next w:val="Standard"/>
    <w:autoRedefine/>
    <w:uiPriority w:val="39"/>
    <w:rsid w:val="003126B1"/>
    <w:rPr>
      <w:rFonts w:eastAsiaTheme="minorEastAsia"/>
      <w:lang w:eastAsia="de-DE"/>
    </w:rPr>
  </w:style>
  <w:style w:type="table" w:styleId="Tabellenraster">
    <w:name w:val="Table Grid"/>
    <w:basedOn w:val="NormaleTabelle"/>
    <w:uiPriority w:val="39"/>
    <w:rsid w:val="00591D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591D34"/>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91D34"/>
    <w:rPr>
      <w:rFonts w:ascii="Segoe UI" w:hAnsi="Segoe UI" w:cs="Segoe UI"/>
      <w:sz w:val="18"/>
      <w:szCs w:val="18"/>
    </w:rPr>
  </w:style>
  <w:style w:type="character" w:styleId="Kommentarzeichen">
    <w:name w:val="annotation reference"/>
    <w:basedOn w:val="Absatz-Standardschriftart"/>
    <w:uiPriority w:val="99"/>
    <w:semiHidden/>
    <w:unhideWhenUsed/>
    <w:rsid w:val="001A4B4F"/>
    <w:rPr>
      <w:sz w:val="16"/>
      <w:szCs w:val="16"/>
    </w:rPr>
  </w:style>
  <w:style w:type="paragraph" w:styleId="Kommentartext">
    <w:name w:val="annotation text"/>
    <w:basedOn w:val="Standard"/>
    <w:link w:val="KommentartextZchn"/>
    <w:uiPriority w:val="99"/>
    <w:unhideWhenUsed/>
    <w:rsid w:val="001A4B4F"/>
    <w:pPr>
      <w:spacing w:line="240" w:lineRule="auto"/>
    </w:pPr>
    <w:rPr>
      <w:sz w:val="20"/>
      <w:szCs w:val="20"/>
    </w:rPr>
  </w:style>
  <w:style w:type="character" w:customStyle="1" w:styleId="KommentartextZchn">
    <w:name w:val="Kommentartext Zchn"/>
    <w:basedOn w:val="Absatz-Standardschriftart"/>
    <w:link w:val="Kommentartext"/>
    <w:uiPriority w:val="99"/>
    <w:rsid w:val="001A4B4F"/>
    <w:rPr>
      <w:sz w:val="20"/>
      <w:szCs w:val="20"/>
    </w:rPr>
  </w:style>
  <w:style w:type="paragraph" w:styleId="Kommentarthema">
    <w:name w:val="annotation subject"/>
    <w:basedOn w:val="Kommentartext"/>
    <w:next w:val="Kommentartext"/>
    <w:link w:val="KommentarthemaZchn"/>
    <w:uiPriority w:val="99"/>
    <w:semiHidden/>
    <w:unhideWhenUsed/>
    <w:rsid w:val="001A4B4F"/>
    <w:rPr>
      <w:b/>
      <w:bCs/>
    </w:rPr>
  </w:style>
  <w:style w:type="character" w:customStyle="1" w:styleId="KommentarthemaZchn">
    <w:name w:val="Kommentarthema Zchn"/>
    <w:basedOn w:val="KommentartextZchn"/>
    <w:link w:val="Kommentarthema"/>
    <w:uiPriority w:val="99"/>
    <w:semiHidden/>
    <w:rsid w:val="001A4B4F"/>
    <w:rPr>
      <w:b/>
      <w:bCs/>
      <w:sz w:val="20"/>
      <w:szCs w:val="20"/>
    </w:rPr>
  </w:style>
  <w:style w:type="character" w:styleId="BesuchterLink">
    <w:name w:val="FollowedHyperlink"/>
    <w:basedOn w:val="Absatz-Standardschriftart"/>
    <w:uiPriority w:val="99"/>
    <w:semiHidden/>
    <w:unhideWhenUsed/>
    <w:rsid w:val="00085C2A"/>
    <w:rPr>
      <w:color w:val="B0BEDB" w:themeColor="followedHyperlink"/>
      <w:u w:val="single"/>
    </w:rPr>
  </w:style>
  <w:style w:type="paragraph" w:styleId="berarbeitung">
    <w:name w:val="Revision"/>
    <w:hidden/>
    <w:uiPriority w:val="99"/>
    <w:semiHidden/>
    <w:rsid w:val="00044D3E"/>
    <w:pPr>
      <w:spacing w:after="0" w:line="240" w:lineRule="auto"/>
    </w:pPr>
  </w:style>
  <w:style w:type="paragraph" w:customStyle="1" w:styleId="pf0">
    <w:name w:val="pf0"/>
    <w:basedOn w:val="Standard"/>
    <w:rsid w:val="0026552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cf01">
    <w:name w:val="cf01"/>
    <w:basedOn w:val="Absatz-Standardschriftart"/>
    <w:rsid w:val="0026552F"/>
    <w:rPr>
      <w:rFonts w:ascii="Segoe UI" w:hAnsi="Segoe UI" w:cs="Segoe UI" w:hint="default"/>
      <w:sz w:val="18"/>
      <w:szCs w:val="18"/>
    </w:rPr>
  </w:style>
  <w:style w:type="paragraph" w:styleId="StandardWeb">
    <w:name w:val="Normal (Web)"/>
    <w:basedOn w:val="Standard"/>
    <w:uiPriority w:val="99"/>
    <w:semiHidden/>
    <w:unhideWhenUsed/>
    <w:rsid w:val="00081F5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NichtaufgelsteErwhnung">
    <w:name w:val="Unresolved Mention"/>
    <w:basedOn w:val="Absatz-Standardschriftart"/>
    <w:uiPriority w:val="99"/>
    <w:semiHidden/>
    <w:unhideWhenUsed/>
    <w:rsid w:val="008C0B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260165">
      <w:bodyDiv w:val="1"/>
      <w:marLeft w:val="0"/>
      <w:marRight w:val="0"/>
      <w:marTop w:val="0"/>
      <w:marBottom w:val="0"/>
      <w:divBdr>
        <w:top w:val="none" w:sz="0" w:space="0" w:color="auto"/>
        <w:left w:val="none" w:sz="0" w:space="0" w:color="auto"/>
        <w:bottom w:val="none" w:sz="0" w:space="0" w:color="auto"/>
        <w:right w:val="none" w:sz="0" w:space="0" w:color="auto"/>
      </w:divBdr>
    </w:div>
    <w:div w:id="363870667">
      <w:bodyDiv w:val="1"/>
      <w:marLeft w:val="0"/>
      <w:marRight w:val="0"/>
      <w:marTop w:val="0"/>
      <w:marBottom w:val="0"/>
      <w:divBdr>
        <w:top w:val="none" w:sz="0" w:space="0" w:color="auto"/>
        <w:left w:val="none" w:sz="0" w:space="0" w:color="auto"/>
        <w:bottom w:val="none" w:sz="0" w:space="0" w:color="auto"/>
        <w:right w:val="none" w:sz="0" w:space="0" w:color="auto"/>
      </w:divBdr>
    </w:div>
    <w:div w:id="526020410">
      <w:bodyDiv w:val="1"/>
      <w:marLeft w:val="0"/>
      <w:marRight w:val="0"/>
      <w:marTop w:val="0"/>
      <w:marBottom w:val="0"/>
      <w:divBdr>
        <w:top w:val="none" w:sz="0" w:space="0" w:color="auto"/>
        <w:left w:val="none" w:sz="0" w:space="0" w:color="auto"/>
        <w:bottom w:val="none" w:sz="0" w:space="0" w:color="auto"/>
        <w:right w:val="none" w:sz="0" w:space="0" w:color="auto"/>
      </w:divBdr>
    </w:div>
    <w:div w:id="747650572">
      <w:bodyDiv w:val="1"/>
      <w:marLeft w:val="0"/>
      <w:marRight w:val="0"/>
      <w:marTop w:val="0"/>
      <w:marBottom w:val="0"/>
      <w:divBdr>
        <w:top w:val="none" w:sz="0" w:space="0" w:color="auto"/>
        <w:left w:val="none" w:sz="0" w:space="0" w:color="auto"/>
        <w:bottom w:val="none" w:sz="0" w:space="0" w:color="auto"/>
        <w:right w:val="none" w:sz="0" w:space="0" w:color="auto"/>
      </w:divBdr>
    </w:div>
    <w:div w:id="843477646">
      <w:bodyDiv w:val="1"/>
      <w:marLeft w:val="0"/>
      <w:marRight w:val="0"/>
      <w:marTop w:val="0"/>
      <w:marBottom w:val="0"/>
      <w:divBdr>
        <w:top w:val="none" w:sz="0" w:space="0" w:color="auto"/>
        <w:left w:val="none" w:sz="0" w:space="0" w:color="auto"/>
        <w:bottom w:val="none" w:sz="0" w:space="0" w:color="auto"/>
        <w:right w:val="none" w:sz="0" w:space="0" w:color="auto"/>
      </w:divBdr>
    </w:div>
    <w:div w:id="917862884">
      <w:bodyDiv w:val="1"/>
      <w:marLeft w:val="0"/>
      <w:marRight w:val="0"/>
      <w:marTop w:val="0"/>
      <w:marBottom w:val="0"/>
      <w:divBdr>
        <w:top w:val="none" w:sz="0" w:space="0" w:color="auto"/>
        <w:left w:val="none" w:sz="0" w:space="0" w:color="auto"/>
        <w:bottom w:val="none" w:sz="0" w:space="0" w:color="auto"/>
        <w:right w:val="none" w:sz="0" w:space="0" w:color="auto"/>
      </w:divBdr>
    </w:div>
    <w:div w:id="993097360">
      <w:bodyDiv w:val="1"/>
      <w:marLeft w:val="0"/>
      <w:marRight w:val="0"/>
      <w:marTop w:val="0"/>
      <w:marBottom w:val="0"/>
      <w:divBdr>
        <w:top w:val="none" w:sz="0" w:space="0" w:color="auto"/>
        <w:left w:val="none" w:sz="0" w:space="0" w:color="auto"/>
        <w:bottom w:val="none" w:sz="0" w:space="0" w:color="auto"/>
        <w:right w:val="none" w:sz="0" w:space="0" w:color="auto"/>
      </w:divBdr>
    </w:div>
    <w:div w:id="1296986739">
      <w:bodyDiv w:val="1"/>
      <w:marLeft w:val="0"/>
      <w:marRight w:val="0"/>
      <w:marTop w:val="0"/>
      <w:marBottom w:val="0"/>
      <w:divBdr>
        <w:top w:val="none" w:sz="0" w:space="0" w:color="auto"/>
        <w:left w:val="none" w:sz="0" w:space="0" w:color="auto"/>
        <w:bottom w:val="none" w:sz="0" w:space="0" w:color="auto"/>
        <w:right w:val="none" w:sz="0" w:space="0" w:color="auto"/>
      </w:divBdr>
    </w:div>
    <w:div w:id="1461261222">
      <w:bodyDiv w:val="1"/>
      <w:marLeft w:val="0"/>
      <w:marRight w:val="0"/>
      <w:marTop w:val="0"/>
      <w:marBottom w:val="0"/>
      <w:divBdr>
        <w:top w:val="none" w:sz="0" w:space="0" w:color="auto"/>
        <w:left w:val="none" w:sz="0" w:space="0" w:color="auto"/>
        <w:bottom w:val="none" w:sz="0" w:space="0" w:color="auto"/>
        <w:right w:val="none" w:sz="0" w:space="0" w:color="auto"/>
      </w:divBdr>
    </w:div>
    <w:div w:id="1588270761">
      <w:bodyDiv w:val="1"/>
      <w:marLeft w:val="0"/>
      <w:marRight w:val="0"/>
      <w:marTop w:val="0"/>
      <w:marBottom w:val="0"/>
      <w:divBdr>
        <w:top w:val="none" w:sz="0" w:space="0" w:color="auto"/>
        <w:left w:val="none" w:sz="0" w:space="0" w:color="auto"/>
        <w:bottom w:val="none" w:sz="0" w:space="0" w:color="auto"/>
        <w:right w:val="none" w:sz="0" w:space="0" w:color="auto"/>
      </w:divBdr>
    </w:div>
    <w:div w:id="1677608556">
      <w:bodyDiv w:val="1"/>
      <w:marLeft w:val="0"/>
      <w:marRight w:val="0"/>
      <w:marTop w:val="0"/>
      <w:marBottom w:val="0"/>
      <w:divBdr>
        <w:top w:val="none" w:sz="0" w:space="0" w:color="auto"/>
        <w:left w:val="none" w:sz="0" w:space="0" w:color="auto"/>
        <w:bottom w:val="none" w:sz="0" w:space="0" w:color="auto"/>
        <w:right w:val="none" w:sz="0" w:space="0" w:color="auto"/>
      </w:divBdr>
    </w:div>
    <w:div w:id="1695765271">
      <w:bodyDiv w:val="1"/>
      <w:marLeft w:val="0"/>
      <w:marRight w:val="0"/>
      <w:marTop w:val="0"/>
      <w:marBottom w:val="0"/>
      <w:divBdr>
        <w:top w:val="none" w:sz="0" w:space="0" w:color="auto"/>
        <w:left w:val="none" w:sz="0" w:space="0" w:color="auto"/>
        <w:bottom w:val="none" w:sz="0" w:space="0" w:color="auto"/>
        <w:right w:val="none" w:sz="0" w:space="0" w:color="auto"/>
      </w:divBdr>
    </w:div>
    <w:div w:id="18497108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ecb.europa.eu/stats/ecb_statistics/reporting/html/index.en.html" TargetMode="External"/><Relationship Id="rId13" Type="http://schemas.openxmlformats.org/officeDocument/2006/relationships/hyperlink" Target="https://www.ecb.europa.eu/stats/ecb_statistics/reporting/jbrc/shared/Recommendations_on_ESG_disclosures.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undesbank.de/de/presse/pressenotizen/ezb/ezb-gibt-wichtige-meilensteine-der-einfuehrung-des-rahmenwerkes-fuer-ein-integriertes-meldewesen-integrated-reporting-framework-iref-bekannt-99911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cb.europa.eu/press/pr/date/2026/html/ecb.pr260608~6766ec7154.en.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ecb.europa.eu/press/govcdec/otherdec/2026/html/ecb.gc260504~07dc9bac72.en.html" TargetMode="External"/><Relationship Id="rId4" Type="http://schemas.openxmlformats.org/officeDocument/2006/relationships/settings" Target="settings.xml"/><Relationship Id="rId9" Type="http://schemas.openxmlformats.org/officeDocument/2006/relationships/hyperlink" Target="https://www.ecb.europa.eu/stats/ecb_statistics/dialogue/html/index.en.html" TargetMode="External"/><Relationship Id="rId14" Type="http://schemas.openxmlformats.org/officeDocument/2006/relationships/fontTable" Target="fontTable.xml"/></Relationships>
</file>

<file path=word/theme/theme1.xml><?xml version="1.0" encoding="utf-8"?>
<a:theme xmlns:a="http://schemas.openxmlformats.org/drawingml/2006/main" name="BBk_Farbe">
  <a:themeElements>
    <a:clrScheme name="Farbe3_Neu">
      <a:dk1>
        <a:srgbClr val="000000"/>
      </a:dk1>
      <a:lt1>
        <a:srgbClr val="FFFFFF"/>
      </a:lt1>
      <a:dk2>
        <a:srgbClr val="000000"/>
      </a:dk2>
      <a:lt2>
        <a:srgbClr val="9FA2A4"/>
      </a:lt2>
      <a:accent1>
        <a:srgbClr val="0062A1"/>
      </a:accent1>
      <a:accent2>
        <a:srgbClr val="96BF0D"/>
      </a:accent2>
      <a:accent3>
        <a:srgbClr val="77B5C2"/>
      </a:accent3>
      <a:accent4>
        <a:srgbClr val="FBBD1A"/>
      </a:accent4>
      <a:accent5>
        <a:srgbClr val="9C9E9F"/>
      </a:accent5>
      <a:accent6>
        <a:srgbClr val="E52B38"/>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40000"/>
            <a:lumOff val="60000"/>
          </a:schemeClr>
        </a:solidFill>
        <a:ln>
          <a:solidFill>
            <a:schemeClr val="accent1">
              <a:lumMod val="75000"/>
            </a:schemeClr>
          </a:solidFill>
        </a:ln>
      </a:spPr>
      <a:bodyPr rtlCol="0" anchor="ctr"/>
      <a:lstStyle>
        <a:defPPr algn="ctr">
          <a:defRPr sz="800"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0FCDA7-9106-408F-A509-5977AB216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1330</Words>
  <Characters>8380</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
    </vt:vector>
  </TitlesOfParts>
  <Company>Deutsche Bundesbank</Company>
  <LinksUpToDate>false</LinksUpToDate>
  <CharactersWithSpaces>9691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Schramme</dc:creator>
  <cp:keywords/>
  <dc:description/>
  <cp:lastModifiedBy>König Christa</cp:lastModifiedBy>
  <cp:revision>2</cp:revision>
  <cp:lastPrinted>2026-05-22T18:48:00Z</cp:lastPrinted>
  <dcterms:created xsi:type="dcterms:W3CDTF">2026-06-10T07:42:00Z</dcterms:created>
  <dcterms:modified xsi:type="dcterms:W3CDTF">2026-06-10T07:42:00Z</dcterms:modified>
</cp:coreProperties>
</file>