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136A9" w14:textId="77777777" w:rsidR="00EE5EF4" w:rsidRPr="009A0817" w:rsidRDefault="00EE5EF4" w:rsidP="00EE5EF4">
      <w:pPr>
        <w:pStyle w:val="InvisibleLine"/>
      </w:pPr>
      <w:r w:rsidRPr="009A0817">
        <w:t> </w:t>
      </w:r>
    </w:p>
    <w:p w14:paraId="554AA685" w14:textId="77777777" w:rsidR="00EE5EF4" w:rsidRDefault="00EE5EF4" w:rsidP="00EE5EF4">
      <w:pPr>
        <w:pStyle w:val="StandardOhneAbsatz"/>
        <w:tabs>
          <w:tab w:val="left" w:pos="3572"/>
        </w:tabs>
        <w:spacing w:line="1160" w:lineRule="exact"/>
      </w:pPr>
      <w:bookmarkStart w:id="0" w:name="cs_dace9f9511c1449fb5c4fd4b5687cf01"/>
      <w:r w:rsidRPr="009A0817">
        <w:tab/>
      </w:r>
      <w:r w:rsidRPr="009A0817">
        <w:rPr>
          <w:noProof/>
        </w:rPr>
        <mc:AlternateContent>
          <mc:Choice Requires="wps">
            <w:drawing>
              <wp:inline distT="0" distB="0" distL="0" distR="0" wp14:anchorId="29C3BB2B" wp14:editId="54F02D92">
                <wp:extent cx="1584000" cy="594000"/>
                <wp:effectExtent l="0" t="0" r="0" b="0"/>
                <wp:docPr id="1" name="###Logo###1" descr="Logo Deutsche Bundesbank Eurosystem" title="Logo Deutsche Bundesbank Eurosystem"/>
                <wp:cNvGraphicFramePr/>
                <a:graphic xmlns:a="http://schemas.openxmlformats.org/drawingml/2006/main">
                  <a:graphicData uri="http://schemas.microsoft.com/office/word/2010/wordprocessingShape">
                    <wps:wsp>
                      <wps:cNvSpPr txBox="1"/>
                      <wps:spPr>
                        <a:xfrm>
                          <a:off x="0" y="0"/>
                          <a:ext cx="1584000" cy="5940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2B4C238" w14:textId="77777777" w:rsidR="00EE5EF4" w:rsidRPr="00344F6B" w:rsidRDefault="00EE5EF4" w:rsidP="00EE5EF4">
                            <w:pPr>
                              <w:pStyle w:val="StandardOhneAbsatz"/>
                              <w:jc w:val="center"/>
                              <w:rPr>
                                <w:sz w:val="2"/>
                                <w:szCs w:val="2"/>
                              </w:rPr>
                            </w:pPr>
                            <w:r w:rsidRPr="00344F6B">
                              <w:rPr>
                                <w:noProof/>
                                <w:sz w:val="2"/>
                                <w:szCs w:val="2"/>
                              </w:rPr>
                              <w:drawing>
                                <wp:inline distT="0" distB="0" distL="0" distR="0" wp14:anchorId="4AB56E48" wp14:editId="2D548B50">
                                  <wp:extent cx="1506551" cy="575945"/>
                                  <wp:effectExtent l="0" t="0" r="0" b="0"/>
                                  <wp:docPr id="1304924791" name="ooImg_1108993845" descr="Logo Deutsche Bundesbank Eurosystem" title="Logo Deutsche Bundesbank Eurosystem"/>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6551" cy="57594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29C3BB2B" id="_x0000_t202" coordsize="21600,21600" o:spt="202" path="m,l,21600r21600,l21600,xe">
                <v:stroke joinstyle="miter"/>
                <v:path gradientshapeok="t" o:connecttype="rect"/>
              </v:shapetype>
              <v:shape id="###Logo###1" o:spid="_x0000_s1026" type="#_x0000_t202" alt="Titel: Logo Deutsche Bundesbank Eurosystem - Beschreibung: Logo Deutsche Bundesbank Eurosystem" style="width:124.7pt;height:4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" filled="f" stroked="f" strokeweight=".5pt">
                <v:textbox inset="0,0,0,0">
                  <w:txbxContent>
                    <w:p w14:paraId="62B4C238" w14:textId="77777777" w:rsidR="00EE5EF4" w:rsidRPr="00344F6B" w:rsidRDefault="00EE5EF4" w:rsidP="00EE5EF4">
                      <w:pPr>
                        <w:pStyle w:val="StandardOhneAbsatz"/>
                        <w:jc w:val="center"/>
                        <w:rPr>
                          <w:sz w:val="2"/>
                          <w:szCs w:val="2"/>
                        </w:rPr>
                      </w:pPr>
                      <w:r w:rsidRPr="00344F6B">
                        <w:rPr>
                          <w:noProof/>
                          <w:sz w:val="2"/>
                          <w:szCs w:val="2"/>
                        </w:rPr>
                        <w:drawing>
                          <wp:inline distT="0" distB="0" distL="0" distR="0" wp14:anchorId="4AB56E48" wp14:editId="2D548B50">
                            <wp:extent cx="1506551" cy="575945"/>
                            <wp:effectExtent l="0" t="0" r="0" b="0"/>
                            <wp:docPr id="1304924791" name="ooImg_1108993845" descr="Logo Deutsche Bundesbank Eurosystem" title="Logo Deutsche Bundesbank Eurosystem"/>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06551" cy="575945"/>
                                    </a:xfrm>
                                    <a:prstGeom prst="rect">
                                      <a:avLst/>
                                    </a:prstGeom>
                                  </pic:spPr>
                                </pic:pic>
                              </a:graphicData>
                            </a:graphic>
                          </wp:inline>
                        </w:drawing>
                      </w:r>
                    </w:p>
                  </w:txbxContent>
                </v:textbox>
                <w10:anchorlock/>
              </v:shape>
            </w:pict>
          </mc:Fallback>
        </mc:AlternateContent>
      </w:r>
      <w:bookmarkStart w:id="1" w:name="_OneOffixxOpenAt"/>
      <w:bookmarkStart w:id="2" w:name="call_25"/>
      <w:bookmarkEnd w:id="0"/>
      <w:bookmarkEnd w:id="1"/>
    </w:p>
    <w:p w14:paraId="2BE30DD7" w14:textId="77777777" w:rsidR="00EE5EF4" w:rsidRPr="00FB4E74" w:rsidRDefault="00EE5EF4" w:rsidP="00EE5EF4">
      <w:pPr>
        <w:pStyle w:val="StandardOhneAbsatz"/>
        <w:tabs>
          <w:tab w:val="left" w:pos="3572"/>
        </w:tabs>
        <w:spacing w:line="1160" w:lineRule="exact"/>
        <w:rPr>
          <w:b/>
          <w:bCs/>
          <w:sz w:val="26"/>
          <w:szCs w:val="26"/>
        </w:rPr>
      </w:pPr>
      <w:r w:rsidRPr="00FB4E74">
        <w:rPr>
          <w:b/>
          <w:bCs/>
          <w:sz w:val="26"/>
          <w:szCs w:val="26"/>
        </w:rPr>
        <w:t xml:space="preserve">Anlage 3 – Entwurf der </w:t>
      </w:r>
      <w:bookmarkEnd w:id="2"/>
      <w:r w:rsidRPr="00FB4E74">
        <w:rPr>
          <w:b/>
          <w:bCs/>
          <w:sz w:val="26"/>
          <w:szCs w:val="26"/>
        </w:rPr>
        <w:t>Teilnahmevereinbarung</w:t>
      </w:r>
    </w:p>
    <w:p w14:paraId="4096BC8F" w14:textId="77777777" w:rsidR="00EE5EF4" w:rsidRDefault="00EE5EF4" w:rsidP="00EE5EF4">
      <w:pPr>
        <w:pStyle w:val="SmallNote"/>
        <w:rPr>
          <w:rFonts w:asciiTheme="majorHAnsi" w:hAnsiTheme="majorHAnsi" w:cstheme="majorHAnsi"/>
          <w:sz w:val="22"/>
          <w:lang w:val="de-DE"/>
        </w:rPr>
      </w:pPr>
      <w:r w:rsidRPr="00FB4E74">
        <w:rPr>
          <w:rFonts w:asciiTheme="majorHAnsi" w:hAnsiTheme="majorHAnsi" w:cstheme="majorHAnsi"/>
          <w:sz w:val="22"/>
          <w:lang w:val="de-DE"/>
        </w:rPr>
        <w:t>Zahlungen an der Verkau</w:t>
      </w:r>
      <w:r>
        <w:rPr>
          <w:rFonts w:asciiTheme="majorHAnsi" w:hAnsiTheme="majorHAnsi" w:cstheme="majorHAnsi"/>
          <w:sz w:val="22"/>
          <w:lang w:val="de-DE"/>
        </w:rPr>
        <w:t>fsstelle im stationären Handel (Person to Business (P2B), Point of Sale (POS))</w:t>
      </w:r>
    </w:p>
    <w:p w14:paraId="71CC906A" w14:textId="52E6592D" w:rsidR="00EE5EF4" w:rsidRPr="009A0817" w:rsidRDefault="00EE5EF4" w:rsidP="00EE5EF4">
      <w:pPr>
        <w:pStyle w:val="SmallNote"/>
        <w:rPr>
          <w:rFonts w:asciiTheme="majorHAnsi" w:hAnsiTheme="majorHAnsi" w:cstheme="majorHAnsi"/>
          <w:sz w:val="22"/>
          <w:lang w:val="de-DE"/>
        </w:rPr>
      </w:pPr>
      <w:r w:rsidRPr="0075694C">
        <w:rPr>
          <w:rFonts w:asciiTheme="majorHAnsi" w:hAnsiTheme="majorHAnsi" w:cstheme="majorHAnsi"/>
          <w:sz w:val="22"/>
          <w:lang w:val="de-DE"/>
        </w:rPr>
        <w:t xml:space="preserve">Stand: </w:t>
      </w:r>
      <w:r w:rsidR="00E71899">
        <w:rPr>
          <w:rFonts w:asciiTheme="majorHAnsi" w:hAnsiTheme="majorHAnsi" w:cstheme="majorHAnsi"/>
          <w:sz w:val="22"/>
          <w:lang w:val="de-DE"/>
        </w:rPr>
        <w:t>9</w:t>
      </w:r>
      <w:r w:rsidRPr="0075694C">
        <w:rPr>
          <w:rFonts w:asciiTheme="majorHAnsi" w:hAnsiTheme="majorHAnsi" w:cstheme="majorHAnsi"/>
          <w:sz w:val="22"/>
          <w:lang w:val="de-DE"/>
        </w:rPr>
        <w:t xml:space="preserve">. </w:t>
      </w:r>
      <w:r w:rsidR="00ED3B21" w:rsidRPr="0075694C">
        <w:rPr>
          <w:rFonts w:asciiTheme="majorHAnsi" w:hAnsiTheme="majorHAnsi" w:cstheme="majorHAnsi"/>
          <w:sz w:val="22"/>
          <w:lang w:val="de-DE"/>
        </w:rPr>
        <w:t>Oktob</w:t>
      </w:r>
      <w:r w:rsidRPr="0075694C">
        <w:rPr>
          <w:rFonts w:asciiTheme="majorHAnsi" w:hAnsiTheme="majorHAnsi" w:cstheme="majorHAnsi"/>
          <w:sz w:val="22"/>
          <w:lang w:val="de-DE"/>
        </w:rPr>
        <w:t>er 2026</w:t>
      </w:r>
    </w:p>
    <w:p w14:paraId="4FCD23E0" w14:textId="77777777" w:rsidR="00EE5EF4" w:rsidRPr="009A0817" w:rsidRDefault="00EE5EF4" w:rsidP="00EE5EF4">
      <w:pPr>
        <w:pStyle w:val="SmallNote"/>
        <w:rPr>
          <w:rFonts w:asciiTheme="majorHAnsi" w:hAnsiTheme="majorHAnsi" w:cstheme="majorHAnsi"/>
          <w:sz w:val="22"/>
          <w:lang w:val="de-DE"/>
        </w:rPr>
      </w:pPr>
      <w:r w:rsidRPr="009A0817">
        <w:rPr>
          <w:rFonts w:asciiTheme="majorHAnsi" w:hAnsiTheme="majorHAnsi" w:cstheme="majorHAnsi"/>
          <w:sz w:val="22"/>
          <w:lang w:val="de-DE"/>
        </w:rPr>
        <w:t>Hinweis für das Auswahlverfahren (nicht Vertragsbestandteil): Dieser Entwurf dient der Vorabinformation über die vorgesehenen Teilnahmebedingungen. Er ist nicht mit der Interessenbekundung zu unterzeichnen oder einzureichen; der Vertragsabschluss erfolgt erst nach Abschluss des Auswahlverfahrens mit den ausgewählten Händlern.</w:t>
      </w:r>
    </w:p>
    <w:p w14:paraId="0BE61B79" w14:textId="77777777" w:rsidR="00EE5EF4" w:rsidRPr="009A0817" w:rsidRDefault="00EE5EF4" w:rsidP="00EE5EF4">
      <w:pPr>
        <w:pStyle w:val="berschrift2"/>
        <w:numPr>
          <w:ilvl w:val="0"/>
          <w:numId w:val="0"/>
        </w:numPr>
        <w:ind w:left="1134" w:hanging="1134"/>
        <w:rPr>
          <w:rFonts w:cstheme="majorHAnsi"/>
          <w:sz w:val="22"/>
          <w:szCs w:val="22"/>
        </w:rPr>
      </w:pPr>
      <w:r w:rsidRPr="009A0817">
        <w:rPr>
          <w:rFonts w:cstheme="majorHAnsi"/>
          <w:sz w:val="22"/>
          <w:szCs w:val="22"/>
        </w:rPr>
        <w:t>Vertragsparteien</w:t>
      </w:r>
    </w:p>
    <w:p w14:paraId="15B8B54B" w14:textId="77777777" w:rsidR="00EE5EF4" w:rsidRPr="009A0817" w:rsidRDefault="00EE5EF4" w:rsidP="00EE5EF4">
      <w:pPr>
        <w:pStyle w:val="Textkrper"/>
        <w:rPr>
          <w:rFonts w:asciiTheme="majorHAnsi" w:hAnsiTheme="majorHAnsi" w:cstheme="majorHAnsi"/>
          <w:szCs w:val="22"/>
        </w:rPr>
      </w:pPr>
      <w:r w:rsidRPr="009A0817">
        <w:rPr>
          <w:rFonts w:asciiTheme="majorHAnsi" w:hAnsiTheme="majorHAnsi" w:cstheme="majorHAnsi"/>
          <w:szCs w:val="22"/>
        </w:rPr>
        <w:t>Deutsche Bundesbank, Frankfurt am Main (nachfolgend „Bundesbank“),</w:t>
      </w:r>
    </w:p>
    <w:p w14:paraId="6A0FCAE5" w14:textId="77777777" w:rsidR="00EE5EF4" w:rsidRPr="009A0817" w:rsidRDefault="00EE5EF4" w:rsidP="00EE5EF4">
      <w:pPr>
        <w:pStyle w:val="Textkrper"/>
        <w:rPr>
          <w:rFonts w:asciiTheme="majorHAnsi" w:hAnsiTheme="majorHAnsi" w:cstheme="majorHAnsi"/>
          <w:szCs w:val="22"/>
        </w:rPr>
      </w:pPr>
      <w:r w:rsidRPr="009A0817">
        <w:rPr>
          <w:rFonts w:asciiTheme="majorHAnsi" w:hAnsiTheme="majorHAnsi" w:cstheme="majorHAnsi"/>
          <w:szCs w:val="22"/>
        </w:rPr>
        <w:t>und</w:t>
      </w:r>
    </w:p>
    <w:p w14:paraId="7AE7AC6C" w14:textId="77777777" w:rsidR="00EE5EF4" w:rsidRPr="009A0817" w:rsidRDefault="00EE5EF4" w:rsidP="00EE5EF4">
      <w:pPr>
        <w:pStyle w:val="Textkrper"/>
        <w:rPr>
          <w:rFonts w:asciiTheme="majorHAnsi" w:hAnsiTheme="majorHAnsi" w:cstheme="majorHAnsi"/>
          <w:szCs w:val="22"/>
        </w:rPr>
      </w:pPr>
      <w:r w:rsidRPr="009A0817">
        <w:rPr>
          <w:rFonts w:asciiTheme="majorHAnsi" w:hAnsiTheme="majorHAnsi" w:cstheme="majorHAnsi"/>
          <w:szCs w:val="22"/>
          <w:highlight w:val="lightGray"/>
        </w:rPr>
        <w:t>[Firma, Rechtsform, Anschrift] (nachfolgend „Pilothändler“),</w:t>
      </w:r>
    </w:p>
    <w:p w14:paraId="24CEA764" w14:textId="77777777" w:rsidR="00EE5EF4" w:rsidRPr="009A0817" w:rsidRDefault="00EE5EF4" w:rsidP="00EE5EF4">
      <w:pPr>
        <w:pStyle w:val="Textkrper"/>
        <w:rPr>
          <w:rFonts w:asciiTheme="majorHAnsi" w:hAnsiTheme="majorHAnsi" w:cstheme="majorHAnsi"/>
          <w:szCs w:val="22"/>
        </w:rPr>
      </w:pPr>
      <w:r w:rsidRPr="009A0817">
        <w:rPr>
          <w:rFonts w:asciiTheme="majorHAnsi" w:hAnsiTheme="majorHAnsi" w:cstheme="majorHAnsi"/>
          <w:szCs w:val="22"/>
        </w:rPr>
        <w:t>gemeinsam die „Parteien“ und jeweils eine „Partei“.</w:t>
      </w:r>
    </w:p>
    <w:p w14:paraId="26F8806B" w14:textId="77777777" w:rsidR="00EE5EF4" w:rsidRPr="009A0817" w:rsidRDefault="00EE5EF4" w:rsidP="00EE5EF4">
      <w:pPr>
        <w:pStyle w:val="berschrift2"/>
        <w:numPr>
          <w:ilvl w:val="0"/>
          <w:numId w:val="0"/>
        </w:numPr>
        <w:ind w:left="1134" w:hanging="1134"/>
        <w:rPr>
          <w:rFonts w:cstheme="majorHAnsi"/>
          <w:sz w:val="22"/>
          <w:szCs w:val="22"/>
        </w:rPr>
      </w:pPr>
      <w:r w:rsidRPr="009A0817">
        <w:rPr>
          <w:rFonts w:cstheme="majorHAnsi"/>
          <w:sz w:val="22"/>
          <w:szCs w:val="22"/>
        </w:rPr>
        <w:t>Präambel</w:t>
      </w:r>
    </w:p>
    <w:p w14:paraId="26636197" w14:textId="77777777" w:rsidR="00EE5EF4" w:rsidRPr="009A0817" w:rsidRDefault="00EE5EF4">
      <w:pPr>
        <w:pStyle w:val="Textkrper"/>
        <w:numPr>
          <w:ilvl w:val="0"/>
          <w:numId w:val="41"/>
        </w:numPr>
        <w:jc w:val="both"/>
        <w:rPr>
          <w:rFonts w:asciiTheme="majorHAnsi" w:hAnsiTheme="majorHAnsi" w:cstheme="majorHAnsi"/>
          <w:szCs w:val="22"/>
        </w:rPr>
      </w:pPr>
      <w:r w:rsidRPr="009A0817">
        <w:rPr>
          <w:rFonts w:asciiTheme="majorHAnsi" w:hAnsiTheme="majorHAnsi" w:cstheme="majorHAnsi"/>
          <w:szCs w:val="22"/>
        </w:rPr>
        <w:t xml:space="preserve">Der Rat der Europäischen Zentralbank hat </w:t>
      </w:r>
      <w:r>
        <w:rPr>
          <w:rFonts w:asciiTheme="majorHAnsi" w:hAnsiTheme="majorHAnsi" w:cstheme="majorHAnsi"/>
          <w:szCs w:val="22"/>
        </w:rPr>
        <w:t>a</w:t>
      </w:r>
      <w:r w:rsidRPr="009A0817">
        <w:rPr>
          <w:rFonts w:asciiTheme="majorHAnsi" w:hAnsiTheme="majorHAnsi" w:cstheme="majorHAnsi"/>
          <w:szCs w:val="22"/>
        </w:rPr>
        <w:t>m</w:t>
      </w:r>
      <w:r>
        <w:rPr>
          <w:rFonts w:asciiTheme="majorHAnsi" w:hAnsiTheme="majorHAnsi" w:cstheme="majorHAnsi"/>
          <w:szCs w:val="22"/>
        </w:rPr>
        <w:t xml:space="preserve"> 29.</w:t>
      </w:r>
      <w:r w:rsidRPr="009A0817">
        <w:rPr>
          <w:rFonts w:asciiTheme="majorHAnsi" w:hAnsiTheme="majorHAnsi" w:cstheme="majorHAnsi"/>
          <w:szCs w:val="22"/>
        </w:rPr>
        <w:t xml:space="preserve"> Oktober 2025 beschlossen, die Vorbereitungen für einen möglichen digitalen Euro in die nächste Phase zu überführen. In diesem Rahmen führen die Zentralbanken des Eurosystems einen kontrollierten Piloten durch, um technische Funktionalitäten, operative Prozesse und die Nutzererfahrung unter realitätsnahen Bedingungen zu erproben.</w:t>
      </w:r>
    </w:p>
    <w:p w14:paraId="4DA393BA" w14:textId="77777777" w:rsidR="00EE5EF4" w:rsidRPr="009A0817" w:rsidRDefault="00EE5EF4">
      <w:pPr>
        <w:pStyle w:val="Textkrper"/>
        <w:numPr>
          <w:ilvl w:val="0"/>
          <w:numId w:val="41"/>
        </w:numPr>
        <w:jc w:val="both"/>
        <w:rPr>
          <w:rFonts w:asciiTheme="majorHAnsi" w:hAnsiTheme="majorHAnsi" w:cstheme="majorHAnsi"/>
          <w:szCs w:val="22"/>
        </w:rPr>
      </w:pPr>
      <w:r w:rsidRPr="009A0817">
        <w:rPr>
          <w:rFonts w:asciiTheme="majorHAnsi" w:hAnsiTheme="majorHAnsi" w:cstheme="majorHAnsi"/>
          <w:szCs w:val="22"/>
        </w:rPr>
        <w:t xml:space="preserve">Der Pilot wird von der Europäischen Zentralbank und den teilnehmenden nationalen Zentralbanken mit einer begrenzten Zahl von Zahlungsdienstleistern, </w:t>
      </w:r>
      <w:r>
        <w:rPr>
          <w:rFonts w:asciiTheme="majorHAnsi" w:hAnsiTheme="majorHAnsi" w:cstheme="majorHAnsi"/>
          <w:szCs w:val="22"/>
        </w:rPr>
        <w:t>I</w:t>
      </w:r>
      <w:r w:rsidRPr="009A0817">
        <w:rPr>
          <w:rFonts w:asciiTheme="majorHAnsi" w:hAnsiTheme="majorHAnsi" w:cstheme="majorHAnsi"/>
          <w:szCs w:val="22"/>
        </w:rPr>
        <w:t xml:space="preserve">ndividuellen Endnutzern und </w:t>
      </w:r>
      <w:r>
        <w:rPr>
          <w:rFonts w:asciiTheme="majorHAnsi" w:hAnsiTheme="majorHAnsi" w:cstheme="majorHAnsi"/>
          <w:szCs w:val="22"/>
        </w:rPr>
        <w:t>G</w:t>
      </w:r>
      <w:r w:rsidRPr="009A0817">
        <w:rPr>
          <w:rFonts w:asciiTheme="majorHAnsi" w:hAnsiTheme="majorHAnsi" w:cstheme="majorHAnsi"/>
          <w:szCs w:val="22"/>
        </w:rPr>
        <w:t>eschäftlichen Endnutzern durchgeführt. Nationale Zentralbanken können hierfür zusätzliche lokale Händler für ihren jeweiligen Pilotstandort auswählen.</w:t>
      </w:r>
    </w:p>
    <w:p w14:paraId="1767376A" w14:textId="77777777" w:rsidR="00EE5EF4" w:rsidRPr="009A0817" w:rsidRDefault="00EE5EF4">
      <w:pPr>
        <w:pStyle w:val="Textkrper"/>
        <w:numPr>
          <w:ilvl w:val="0"/>
          <w:numId w:val="41"/>
        </w:numPr>
        <w:jc w:val="both"/>
        <w:rPr>
          <w:rFonts w:asciiTheme="majorHAnsi" w:hAnsiTheme="majorHAnsi" w:cstheme="majorHAnsi"/>
          <w:szCs w:val="22"/>
        </w:rPr>
      </w:pPr>
      <w:r w:rsidRPr="009A0817">
        <w:rPr>
          <w:rFonts w:asciiTheme="majorHAnsi" w:hAnsiTheme="majorHAnsi" w:cstheme="majorHAnsi"/>
          <w:szCs w:val="22"/>
        </w:rPr>
        <w:t xml:space="preserve">Der Pilothändler wurde von der Bundesbank für den stationären </w:t>
      </w:r>
      <w:r>
        <w:rPr>
          <w:rFonts w:asciiTheme="majorHAnsi" w:hAnsiTheme="majorHAnsi" w:cstheme="majorHAnsi"/>
          <w:szCs w:val="22"/>
        </w:rPr>
        <w:t xml:space="preserve">Handel an der Verkaufsstelle </w:t>
      </w:r>
      <w:r w:rsidRPr="009A0817">
        <w:rPr>
          <w:rFonts w:asciiTheme="majorHAnsi" w:hAnsiTheme="majorHAnsi" w:cstheme="majorHAnsi"/>
          <w:szCs w:val="22"/>
        </w:rPr>
        <w:t xml:space="preserve">auf einer von der Bundesbank bestimmten Pilotliegenschaft ausgewählt und wird dort Zahlungen mit der Beta-Version des digitalen Euro von zugelassenen </w:t>
      </w:r>
      <w:r>
        <w:rPr>
          <w:rFonts w:asciiTheme="majorHAnsi" w:hAnsiTheme="majorHAnsi" w:cstheme="majorHAnsi"/>
          <w:szCs w:val="22"/>
        </w:rPr>
        <w:t>I</w:t>
      </w:r>
      <w:r w:rsidRPr="009A0817">
        <w:rPr>
          <w:rFonts w:asciiTheme="majorHAnsi" w:hAnsiTheme="majorHAnsi" w:cstheme="majorHAnsi"/>
          <w:szCs w:val="22"/>
        </w:rPr>
        <w:t>ndividuellen Endnutzern annehmen.</w:t>
      </w:r>
    </w:p>
    <w:p w14:paraId="6DC5A61C" w14:textId="71623244" w:rsidR="00EE5EF4" w:rsidRPr="009A0817" w:rsidRDefault="00EE5EF4">
      <w:pPr>
        <w:pStyle w:val="Textkrper"/>
        <w:numPr>
          <w:ilvl w:val="0"/>
          <w:numId w:val="41"/>
        </w:numPr>
        <w:jc w:val="both"/>
        <w:rPr>
          <w:rFonts w:asciiTheme="majorHAnsi" w:hAnsiTheme="majorHAnsi" w:cstheme="majorHAnsi"/>
          <w:szCs w:val="22"/>
        </w:rPr>
      </w:pPr>
      <w:r w:rsidRPr="009A0817">
        <w:rPr>
          <w:rFonts w:asciiTheme="majorHAnsi" w:hAnsiTheme="majorHAnsi" w:cstheme="majorHAnsi"/>
          <w:szCs w:val="22"/>
        </w:rPr>
        <w:t>Die Beta-Version des digitalen Euro dient ausschließlich dem Pilot</w:t>
      </w:r>
      <w:r w:rsidR="00252AB9">
        <w:rPr>
          <w:rFonts w:asciiTheme="majorHAnsi" w:hAnsiTheme="majorHAnsi" w:cstheme="majorHAnsi"/>
          <w:szCs w:val="22"/>
        </w:rPr>
        <w:t>betrieb</w:t>
      </w:r>
      <w:r w:rsidRPr="009A0817">
        <w:rPr>
          <w:rFonts w:asciiTheme="majorHAnsi" w:hAnsiTheme="majorHAnsi" w:cstheme="majorHAnsi"/>
          <w:szCs w:val="22"/>
        </w:rPr>
        <w:t xml:space="preserve"> und besitzt keinen Status als gesetzliches Zahlungsmittel. Die Teilnahme am Pilotbetrieb greift einer späteren Entscheidung über die mögliche Ausgabe eines digitalen Euro nicht vor.</w:t>
      </w:r>
    </w:p>
    <w:p w14:paraId="528280BF" w14:textId="77777777" w:rsidR="00EE5EF4" w:rsidRPr="005A12BA" w:rsidRDefault="00EE5EF4">
      <w:pPr>
        <w:pStyle w:val="Textkrper"/>
        <w:numPr>
          <w:ilvl w:val="0"/>
          <w:numId w:val="41"/>
        </w:numPr>
        <w:jc w:val="both"/>
        <w:rPr>
          <w:rFonts w:asciiTheme="majorHAnsi" w:hAnsiTheme="majorHAnsi" w:cstheme="majorHAnsi"/>
          <w:szCs w:val="22"/>
        </w:rPr>
      </w:pPr>
      <w:r w:rsidRPr="005A12BA">
        <w:rPr>
          <w:rFonts w:asciiTheme="majorHAnsi" w:hAnsiTheme="majorHAnsi" w:cstheme="majorHAnsi"/>
          <w:szCs w:val="22"/>
        </w:rPr>
        <w:t>Diese Teilnahmevereinbarung regelt die Teilnahme des Pilothändlers am Pilotbetrieb und lässt die Pflichten des Pilothändlers aus anwendbarem Recht sowie aus der Vereinbarung mit dem Pilot-Acquirer unberührt.</w:t>
      </w:r>
    </w:p>
    <w:p w14:paraId="739213E6" w14:textId="77777777" w:rsidR="00EE5EF4" w:rsidRDefault="00EE5EF4" w:rsidP="00EE5EF4">
      <w:pPr>
        <w:pStyle w:val="berschrift1"/>
        <w:numPr>
          <w:ilvl w:val="0"/>
          <w:numId w:val="0"/>
        </w:numPr>
        <w:ind w:left="1134" w:hanging="1134"/>
        <w:rPr>
          <w:rFonts w:cstheme="majorHAnsi"/>
          <w:sz w:val="22"/>
          <w:szCs w:val="22"/>
        </w:rPr>
      </w:pPr>
      <w:r w:rsidRPr="0038363D">
        <w:rPr>
          <w:rFonts w:cstheme="majorHAnsi"/>
          <w:sz w:val="22"/>
          <w:szCs w:val="22"/>
        </w:rPr>
        <w:lastRenderedPageBreak/>
        <w:t>§ 1 Begriffsbestimmungen</w:t>
      </w:r>
    </w:p>
    <w:p w14:paraId="3304F2F7" w14:textId="5A538A88" w:rsidR="00252AB9" w:rsidRPr="00252AB9" w:rsidRDefault="00252AB9" w:rsidP="00252AB9">
      <w:r w:rsidRPr="00252AB9">
        <w:t>Für die Zwecke dieser Teilnahmevereinbarung gelten die folgenden Begriffsbestimmungen:</w:t>
      </w:r>
    </w:p>
    <w:p w14:paraId="5934A136" w14:textId="77777777" w:rsidR="00D04D09" w:rsidRDefault="00EE5EF4" w:rsidP="00D04D09">
      <w:pPr>
        <w:pStyle w:val="Clause"/>
        <w:numPr>
          <w:ilvl w:val="0"/>
          <w:numId w:val="26"/>
        </w:numPr>
        <w:ind w:left="360"/>
        <w:rPr>
          <w:rFonts w:asciiTheme="majorHAnsi" w:hAnsiTheme="majorHAnsi" w:cstheme="majorHAnsi"/>
          <w:sz w:val="22"/>
          <w:lang w:val="de-DE"/>
        </w:rPr>
      </w:pPr>
      <w:r w:rsidRPr="00D04D09">
        <w:rPr>
          <w:rFonts w:asciiTheme="majorHAnsi" w:hAnsiTheme="majorHAnsi" w:cstheme="majorHAnsi"/>
          <w:sz w:val="22"/>
          <w:lang w:val="de-DE"/>
        </w:rPr>
        <w:t>„Beta-Version des digitalen Euro“ („Beta-Digital-Euro“) bezeichnet das von Zentralbanken des Eurosystems ausschließlich für Zwecke des Pilot</w:t>
      </w:r>
      <w:r w:rsidR="00252AB9" w:rsidRPr="00D04D09">
        <w:rPr>
          <w:rFonts w:asciiTheme="majorHAnsi" w:hAnsiTheme="majorHAnsi" w:cstheme="majorHAnsi"/>
          <w:sz w:val="22"/>
          <w:lang w:val="de-DE"/>
        </w:rPr>
        <w:t>betriebs</w:t>
      </w:r>
      <w:r w:rsidRPr="00D04D09">
        <w:rPr>
          <w:rFonts w:asciiTheme="majorHAnsi" w:hAnsiTheme="majorHAnsi" w:cstheme="majorHAnsi"/>
          <w:sz w:val="22"/>
          <w:lang w:val="de-DE"/>
        </w:rPr>
        <w:t xml:space="preserve"> bereitgestellte digitale Zahlungsmittel. Es soll Geldbeträge in Form von Buchgeld im Sinne von Artikel 4 Nummer 25 der Richtlinie (EU) 2015/2366</w:t>
      </w:r>
      <w:r w:rsidR="00FC07EB" w:rsidRPr="00FC07EB">
        <w:rPr>
          <w:rFonts w:asciiTheme="majorHAnsi" w:hAnsiTheme="majorHAnsi" w:cstheme="majorHAnsi"/>
        </w:rPr>
        <w:footnoteReference w:id="1"/>
      </w:r>
      <w:r w:rsidRPr="00D04D09">
        <w:rPr>
          <w:rFonts w:asciiTheme="majorHAnsi" w:hAnsiTheme="majorHAnsi" w:cstheme="majorHAnsi"/>
          <w:sz w:val="22"/>
          <w:lang w:val="de-DE"/>
        </w:rPr>
        <w:t xml:space="preserve"> darstellen und </w:t>
      </w:r>
      <w:r w:rsidR="00FC07EB" w:rsidRPr="00D04D09">
        <w:rPr>
          <w:rFonts w:asciiTheme="majorHAnsi" w:hAnsiTheme="majorHAnsi" w:cstheme="majorHAnsi"/>
          <w:sz w:val="22"/>
          <w:lang w:val="de-DE"/>
        </w:rPr>
        <w:t>repräsentiert</w:t>
      </w:r>
      <w:r w:rsidRPr="00D04D09">
        <w:rPr>
          <w:rFonts w:asciiTheme="majorHAnsi" w:hAnsiTheme="majorHAnsi" w:cstheme="majorHAnsi"/>
          <w:sz w:val="22"/>
          <w:lang w:val="de-DE"/>
        </w:rPr>
        <w:t xml:space="preserve"> eine in </w:t>
      </w:r>
      <w:r w:rsidR="00FC07EB" w:rsidRPr="00D04D09">
        <w:rPr>
          <w:rFonts w:asciiTheme="majorHAnsi" w:hAnsiTheme="majorHAnsi" w:cstheme="majorHAnsi"/>
          <w:sz w:val="22"/>
          <w:lang w:val="de-DE"/>
        </w:rPr>
        <w:t>Buchf</w:t>
      </w:r>
      <w:r w:rsidRPr="00D04D09">
        <w:rPr>
          <w:rFonts w:asciiTheme="majorHAnsi" w:hAnsiTheme="majorHAnsi" w:cstheme="majorHAnsi"/>
          <w:sz w:val="22"/>
          <w:lang w:val="de-DE"/>
        </w:rPr>
        <w:t xml:space="preserve">orm </w:t>
      </w:r>
      <w:r w:rsidR="00FC07EB" w:rsidRPr="00D04D09">
        <w:rPr>
          <w:rFonts w:asciiTheme="majorHAnsi" w:hAnsiTheme="majorHAnsi" w:cstheme="majorHAnsi"/>
          <w:sz w:val="22"/>
          <w:lang w:val="de-DE"/>
        </w:rPr>
        <w:t>geführte</w:t>
      </w:r>
      <w:r w:rsidRPr="00D04D09">
        <w:rPr>
          <w:rFonts w:asciiTheme="majorHAnsi" w:hAnsiTheme="majorHAnsi" w:cstheme="majorHAnsi"/>
          <w:sz w:val="22"/>
          <w:lang w:val="de-DE"/>
        </w:rPr>
        <w:t xml:space="preserve"> Verbindlichkeit des Eurosystems, die zugunsten der Endnutzer </w:t>
      </w:r>
      <w:r w:rsidR="00D04D09" w:rsidRPr="00D04D09">
        <w:rPr>
          <w:rFonts w:asciiTheme="majorHAnsi" w:hAnsiTheme="majorHAnsi" w:cstheme="majorHAnsi"/>
          <w:sz w:val="22"/>
          <w:lang w:val="de-DE"/>
        </w:rPr>
        <w:t>nach</w:t>
      </w:r>
      <w:r w:rsidRPr="00D04D09">
        <w:rPr>
          <w:rFonts w:asciiTheme="majorHAnsi" w:hAnsiTheme="majorHAnsi" w:cstheme="majorHAnsi"/>
          <w:sz w:val="22"/>
          <w:lang w:val="de-DE"/>
        </w:rPr>
        <w:t xml:space="preserve"> Umwandlung ihrer Einlagen bei Geschäftsbanken ausschließlich </w:t>
      </w:r>
      <w:r w:rsidR="00D04D09" w:rsidRPr="00D04D09">
        <w:rPr>
          <w:rFonts w:asciiTheme="majorHAnsi" w:hAnsiTheme="majorHAnsi" w:cstheme="majorHAnsi"/>
          <w:sz w:val="22"/>
          <w:lang w:val="de-DE"/>
        </w:rPr>
        <w:t>zum Zweck der</w:t>
      </w:r>
      <w:r w:rsidRPr="00D04D09">
        <w:rPr>
          <w:rFonts w:asciiTheme="majorHAnsi" w:hAnsiTheme="majorHAnsi" w:cstheme="majorHAnsi"/>
          <w:sz w:val="22"/>
          <w:lang w:val="de-DE"/>
        </w:rPr>
        <w:t xml:space="preserve"> Durchführung von Zahlungsvorgängen im Pilotbetrieb ausgegeben wird. </w:t>
      </w:r>
      <w:r w:rsidR="00D04D09" w:rsidRPr="00D04D09">
        <w:rPr>
          <w:rFonts w:asciiTheme="majorHAnsi" w:hAnsiTheme="majorHAnsi" w:cstheme="majorHAnsi"/>
          <w:sz w:val="22"/>
          <w:lang w:val="de-DE"/>
        </w:rPr>
        <w:t>Der Beta-Digital-Euro</w:t>
      </w:r>
      <w:r w:rsidRPr="00D04D09">
        <w:rPr>
          <w:rFonts w:asciiTheme="majorHAnsi" w:hAnsiTheme="majorHAnsi" w:cstheme="majorHAnsi"/>
          <w:sz w:val="22"/>
          <w:lang w:val="de-DE"/>
        </w:rPr>
        <w:t xml:space="preserve"> ist kein gesetzliches Zahlungsmittel, stellt kein </w:t>
      </w:r>
      <w:r w:rsidR="00D04D09" w:rsidRPr="00D04D09">
        <w:rPr>
          <w:rFonts w:asciiTheme="majorHAnsi" w:hAnsiTheme="majorHAnsi" w:cstheme="majorHAnsi"/>
          <w:sz w:val="22"/>
          <w:lang w:val="de-DE"/>
        </w:rPr>
        <w:t>Zentralbankgeld in körperlicher Form (</w:t>
      </w:r>
      <w:r w:rsidRPr="00D04D09">
        <w:rPr>
          <w:rFonts w:asciiTheme="majorHAnsi" w:hAnsiTheme="majorHAnsi" w:cstheme="majorHAnsi"/>
          <w:sz w:val="22"/>
          <w:lang w:val="de-DE"/>
        </w:rPr>
        <w:t>Bargeld</w:t>
      </w:r>
      <w:r w:rsidR="00D04D09" w:rsidRPr="00D04D09">
        <w:rPr>
          <w:rFonts w:asciiTheme="majorHAnsi" w:hAnsiTheme="majorHAnsi" w:cstheme="majorHAnsi"/>
          <w:sz w:val="22"/>
          <w:lang w:val="de-DE"/>
        </w:rPr>
        <w:t>)</w:t>
      </w:r>
      <w:r w:rsidRPr="00D04D09">
        <w:rPr>
          <w:rFonts w:asciiTheme="majorHAnsi" w:hAnsiTheme="majorHAnsi" w:cstheme="majorHAnsi"/>
          <w:sz w:val="22"/>
          <w:lang w:val="de-DE"/>
        </w:rPr>
        <w:t xml:space="preserve"> dar, begründet weder einen Anspruch gegen</w:t>
      </w:r>
      <w:r w:rsidR="00D04D09" w:rsidRPr="00D04D09">
        <w:rPr>
          <w:rFonts w:asciiTheme="majorHAnsi" w:hAnsiTheme="majorHAnsi" w:cstheme="majorHAnsi"/>
          <w:sz w:val="22"/>
          <w:lang w:val="de-DE"/>
        </w:rPr>
        <w:t>über</w:t>
      </w:r>
      <w:r w:rsidRPr="00D04D09">
        <w:rPr>
          <w:rFonts w:asciiTheme="majorHAnsi" w:hAnsiTheme="majorHAnsi" w:cstheme="majorHAnsi"/>
          <w:sz w:val="22"/>
          <w:lang w:val="de-DE"/>
        </w:rPr>
        <w:t xml:space="preserve"> eine</w:t>
      </w:r>
      <w:r w:rsidR="00D04D09" w:rsidRPr="00D04D09">
        <w:rPr>
          <w:rFonts w:asciiTheme="majorHAnsi" w:hAnsiTheme="majorHAnsi" w:cstheme="majorHAnsi"/>
          <w:sz w:val="22"/>
          <w:lang w:val="de-DE"/>
        </w:rPr>
        <w:t>m</w:t>
      </w:r>
      <w:r w:rsidRPr="00D04D09">
        <w:rPr>
          <w:rFonts w:asciiTheme="majorHAnsi" w:hAnsiTheme="majorHAnsi" w:cstheme="majorHAnsi"/>
          <w:sz w:val="22"/>
          <w:lang w:val="de-DE"/>
        </w:rPr>
        <w:t xml:space="preserve"> Pilot-PSP noch die Eröffnung eines Kontos bei der Bundesbank oder einer anderen Zentralbank des Eurosystems </w:t>
      </w:r>
      <w:r w:rsidR="00D04D09" w:rsidRPr="00561F9D">
        <w:rPr>
          <w:rFonts w:asciiTheme="majorHAnsi" w:hAnsiTheme="majorHAnsi" w:cstheme="majorHAnsi"/>
          <w:sz w:val="22"/>
          <w:lang w:val="de-DE"/>
        </w:rPr>
        <w:t>und kann ausschließlich über Konten genutzt und abgewickelt werden, die bei Pilot-Zahlungsdienstleistern geführt werden.</w:t>
      </w:r>
      <w:r w:rsidR="00D04D09" w:rsidRPr="00D04D09">
        <w:rPr>
          <w:rFonts w:asciiTheme="majorHAnsi" w:hAnsiTheme="majorHAnsi" w:cstheme="majorHAnsi"/>
          <w:sz w:val="22"/>
          <w:lang w:val="de-DE"/>
        </w:rPr>
        <w:t xml:space="preserve"> </w:t>
      </w:r>
    </w:p>
    <w:p w14:paraId="46A24EA4" w14:textId="252A5E25" w:rsidR="00EE5EF4" w:rsidRPr="00D04D09" w:rsidRDefault="00EE5EF4" w:rsidP="00D04D09">
      <w:pPr>
        <w:pStyle w:val="Clause"/>
        <w:numPr>
          <w:ilvl w:val="0"/>
          <w:numId w:val="26"/>
        </w:numPr>
        <w:ind w:left="360"/>
        <w:rPr>
          <w:rFonts w:asciiTheme="majorHAnsi" w:hAnsiTheme="majorHAnsi" w:cstheme="majorHAnsi"/>
          <w:sz w:val="22"/>
          <w:lang w:val="de-DE"/>
        </w:rPr>
      </w:pPr>
      <w:r w:rsidRPr="00D04D09">
        <w:rPr>
          <w:rFonts w:asciiTheme="majorHAnsi" w:hAnsiTheme="majorHAnsi" w:cstheme="majorHAnsi"/>
          <w:sz w:val="22"/>
          <w:lang w:val="de-DE"/>
        </w:rPr>
        <w:t xml:space="preserve">„Digital Euro Service </w:t>
      </w:r>
      <w:proofErr w:type="spellStart"/>
      <w:r w:rsidRPr="00D04D09">
        <w:rPr>
          <w:rFonts w:asciiTheme="majorHAnsi" w:hAnsiTheme="majorHAnsi" w:cstheme="majorHAnsi"/>
          <w:sz w:val="22"/>
          <w:lang w:val="de-DE"/>
        </w:rPr>
        <w:t>Platform</w:t>
      </w:r>
      <w:proofErr w:type="spellEnd"/>
      <w:r w:rsidRPr="00D04D09">
        <w:rPr>
          <w:rFonts w:asciiTheme="majorHAnsi" w:hAnsiTheme="majorHAnsi" w:cstheme="majorHAnsi"/>
          <w:sz w:val="22"/>
          <w:lang w:val="de-DE"/>
        </w:rPr>
        <w:t xml:space="preserve">“ („DESP“) bezeichnet die technische Plattform </w:t>
      </w:r>
      <w:r w:rsidR="00D04D09">
        <w:rPr>
          <w:rFonts w:asciiTheme="majorHAnsi" w:hAnsiTheme="majorHAnsi" w:cstheme="majorHAnsi"/>
          <w:sz w:val="22"/>
          <w:lang w:val="de-DE"/>
        </w:rPr>
        <w:t xml:space="preserve">im Eigentum der Zentralbanken </w:t>
      </w:r>
      <w:r w:rsidRPr="00D04D09">
        <w:rPr>
          <w:rFonts w:asciiTheme="majorHAnsi" w:hAnsiTheme="majorHAnsi" w:cstheme="majorHAnsi"/>
          <w:sz w:val="22"/>
          <w:lang w:val="de-DE"/>
        </w:rPr>
        <w:t xml:space="preserve">des Eurosystems, die die Ausgabe und </w:t>
      </w:r>
      <w:r w:rsidR="00D04D09">
        <w:rPr>
          <w:rFonts w:asciiTheme="majorHAnsi" w:hAnsiTheme="majorHAnsi" w:cstheme="majorHAnsi"/>
          <w:sz w:val="22"/>
          <w:lang w:val="de-DE"/>
        </w:rPr>
        <w:t xml:space="preserve">Einlösung </w:t>
      </w:r>
      <w:r w:rsidRPr="00D04D09">
        <w:rPr>
          <w:rFonts w:asciiTheme="majorHAnsi" w:hAnsiTheme="majorHAnsi" w:cstheme="majorHAnsi"/>
          <w:sz w:val="22"/>
          <w:lang w:val="de-DE"/>
        </w:rPr>
        <w:t xml:space="preserve">der Beta-Version des digitalen Euro ermöglicht </w:t>
      </w:r>
      <w:r w:rsidR="00D04D09" w:rsidRPr="00B07650">
        <w:rPr>
          <w:rFonts w:asciiTheme="majorHAnsi" w:hAnsiTheme="majorHAnsi" w:cstheme="majorHAnsi"/>
          <w:sz w:val="22"/>
          <w:lang w:val="de-DE"/>
        </w:rPr>
        <w:t>und Funktionen bereitstellt, beispielsweise die Abwicklung von Zahlungsvorgängen, die von einem einzelnen Intermediär nicht eigenständig erbracht werden können.</w:t>
      </w:r>
    </w:p>
    <w:p w14:paraId="5BAFB1A8"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„Endnutzer“ bezeichnet Individuelle Endnutzer und Geschäftliche Endnutzer.</w:t>
      </w:r>
    </w:p>
    <w:p w14:paraId="7E3F7031" w14:textId="537F4D39"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„Geschäftlicher Endnutzer“ bezeichnet eine natürliche oder juristische Person, die im Rahmen einer wirtschaftlichen Tätigkeit</w:t>
      </w:r>
      <w:r w:rsidR="00D04D09">
        <w:rPr>
          <w:rFonts w:asciiTheme="majorHAnsi" w:hAnsiTheme="majorHAnsi" w:cstheme="majorHAnsi"/>
          <w:sz w:val="22"/>
          <w:lang w:val="de-DE"/>
        </w:rPr>
        <w:t>,</w:t>
      </w:r>
      <w:r>
        <w:rPr>
          <w:rFonts w:asciiTheme="majorHAnsi" w:hAnsiTheme="majorHAnsi" w:cstheme="majorHAnsi"/>
          <w:sz w:val="22"/>
          <w:lang w:val="de-DE"/>
        </w:rPr>
        <w:t xml:space="preserve"> </w:t>
      </w:r>
      <w:r w:rsidR="00D04D09">
        <w:rPr>
          <w:rFonts w:asciiTheme="majorHAnsi" w:hAnsiTheme="majorHAnsi" w:cstheme="majorHAnsi"/>
          <w:sz w:val="22"/>
          <w:lang w:val="de-DE"/>
        </w:rPr>
        <w:t>I</w:t>
      </w:r>
      <w:r w:rsidR="00D04D09" w:rsidRPr="00CD5854">
        <w:rPr>
          <w:rFonts w:asciiTheme="majorHAnsi" w:hAnsiTheme="majorHAnsi" w:cstheme="majorHAnsi"/>
          <w:sz w:val="22"/>
          <w:lang w:val="de-DE"/>
        </w:rPr>
        <w:t>ndividuellen Endnutzern, die am Pilot</w:t>
      </w:r>
      <w:r w:rsidR="00D04D09">
        <w:rPr>
          <w:rFonts w:asciiTheme="majorHAnsi" w:hAnsiTheme="majorHAnsi" w:cstheme="majorHAnsi"/>
          <w:sz w:val="22"/>
          <w:lang w:val="de-DE"/>
        </w:rPr>
        <w:t>betrieb</w:t>
      </w:r>
      <w:r w:rsidR="00D04D09" w:rsidRPr="00CD5854">
        <w:rPr>
          <w:rFonts w:asciiTheme="majorHAnsi" w:hAnsiTheme="majorHAnsi" w:cstheme="majorHAnsi"/>
          <w:sz w:val="22"/>
          <w:lang w:val="de-DE"/>
        </w:rPr>
        <w:t xml:space="preserve"> teilnehmen</w:t>
      </w:r>
      <w:r w:rsidR="00D04D09">
        <w:rPr>
          <w:rFonts w:asciiTheme="majorHAnsi" w:hAnsiTheme="majorHAnsi" w:cstheme="majorHAnsi"/>
          <w:sz w:val="22"/>
          <w:lang w:val="de-DE"/>
        </w:rPr>
        <w:t xml:space="preserve">, </w:t>
      </w:r>
      <w:r>
        <w:rPr>
          <w:rFonts w:asciiTheme="majorHAnsi" w:hAnsiTheme="majorHAnsi" w:cstheme="majorHAnsi"/>
          <w:sz w:val="22"/>
          <w:lang w:val="de-DE"/>
        </w:rPr>
        <w:t>Waren anbietet und für die Teilnahme am Pilotbetrieb als Händler ausgewählt wurde.</w:t>
      </w:r>
    </w:p>
    <w:p w14:paraId="62BFF2CC" w14:textId="77777777" w:rsidR="00EE5EF4" w:rsidRPr="009A0817" w:rsidRDefault="00EE5EF4">
      <w:pPr>
        <w:pStyle w:val="Clause"/>
        <w:numPr>
          <w:ilvl w:val="0"/>
          <w:numId w:val="26"/>
        </w:numPr>
        <w:ind w:left="360"/>
        <w:rPr>
          <w:rFonts w:asciiTheme="majorHAnsi" w:hAnsiTheme="majorHAnsi" w:cstheme="majorHAnsi"/>
          <w:sz w:val="22"/>
          <w:lang w:val="de-DE"/>
        </w:rPr>
      </w:pPr>
      <w:r w:rsidRPr="009A0817">
        <w:rPr>
          <w:rFonts w:asciiTheme="majorHAnsi" w:hAnsiTheme="majorHAnsi" w:cstheme="majorHAnsi"/>
          <w:sz w:val="22"/>
          <w:lang w:val="de-DE"/>
        </w:rPr>
        <w:t xml:space="preserve">„Individueller Endnutzer“ bezeichnet eine von der Bundesbank oder einer anderen teilnehmenden Zentralbank für den Pilot zugelassene natürliche Person, insbesondere </w:t>
      </w:r>
      <w:r>
        <w:rPr>
          <w:rFonts w:asciiTheme="majorHAnsi" w:hAnsiTheme="majorHAnsi" w:cstheme="majorHAnsi"/>
          <w:sz w:val="22"/>
          <w:lang w:val="de-DE"/>
        </w:rPr>
        <w:t>Beschäftigte der Zentralbanken des Eurosystems</w:t>
      </w:r>
      <w:r w:rsidRPr="009A0817">
        <w:rPr>
          <w:rFonts w:asciiTheme="majorHAnsi" w:hAnsiTheme="majorHAnsi" w:cstheme="majorHAnsi"/>
          <w:sz w:val="22"/>
          <w:lang w:val="de-DE"/>
        </w:rPr>
        <w:t>.</w:t>
      </w:r>
    </w:p>
    <w:p w14:paraId="78D264A2"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„Operative Pilotphase“ bezeichnet den Zeitraum ab Freigabe des stationären Pilotbetriebs bis zum regulären Abschluss oder einer früheren Beendigung des Pilotbetriebs.</w:t>
      </w:r>
    </w:p>
    <w:p w14:paraId="3A6B839A"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„Pilot-Acquirer“ bezeichnet den für den Pilotbetrieb benannten Zahlungsdienstleister (</w:t>
      </w:r>
      <w:proofErr w:type="spellStart"/>
      <w:r>
        <w:rPr>
          <w:rFonts w:asciiTheme="majorHAnsi" w:hAnsiTheme="majorHAnsi" w:cstheme="majorHAnsi"/>
          <w:sz w:val="22"/>
          <w:lang w:val="de-DE"/>
        </w:rPr>
        <w:t>Acquiring</w:t>
      </w:r>
      <w:proofErr w:type="spellEnd"/>
      <w:r>
        <w:rPr>
          <w:rFonts w:asciiTheme="majorHAnsi" w:hAnsiTheme="majorHAnsi" w:cstheme="majorHAnsi"/>
          <w:sz w:val="22"/>
          <w:lang w:val="de-DE"/>
        </w:rPr>
        <w:t>), der dem Pilothändler die für die Annahme von Beta-Digital-Euro-Zahlungen erforderlichen Pilot-</w:t>
      </w:r>
      <w:proofErr w:type="spellStart"/>
      <w:r>
        <w:rPr>
          <w:rFonts w:asciiTheme="majorHAnsi" w:hAnsiTheme="majorHAnsi" w:cstheme="majorHAnsi"/>
          <w:sz w:val="22"/>
          <w:lang w:val="de-DE"/>
        </w:rPr>
        <w:t>Acquiring</w:t>
      </w:r>
      <w:proofErr w:type="spellEnd"/>
      <w:r>
        <w:rPr>
          <w:rFonts w:asciiTheme="majorHAnsi" w:hAnsiTheme="majorHAnsi" w:cstheme="majorHAnsi"/>
          <w:sz w:val="22"/>
          <w:lang w:val="de-DE"/>
        </w:rPr>
        <w:t>-Zahlungsdienste bereitstellt.</w:t>
      </w:r>
    </w:p>
    <w:p w14:paraId="49A48263"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„Pilot-</w:t>
      </w:r>
      <w:proofErr w:type="spellStart"/>
      <w:r>
        <w:rPr>
          <w:rFonts w:asciiTheme="majorHAnsi" w:hAnsiTheme="majorHAnsi" w:cstheme="majorHAnsi"/>
          <w:sz w:val="22"/>
          <w:lang w:val="de-DE"/>
        </w:rPr>
        <w:t>Acquiring</w:t>
      </w:r>
      <w:proofErr w:type="spellEnd"/>
      <w:r>
        <w:rPr>
          <w:rFonts w:asciiTheme="majorHAnsi" w:hAnsiTheme="majorHAnsi" w:cstheme="majorHAnsi"/>
          <w:sz w:val="22"/>
          <w:lang w:val="de-DE"/>
        </w:rPr>
        <w:t>-Zahlungsdienste“ bezeichnet die Zahlungsdienste und Akzeptanzlösungen, die den Pilothändler in die Lage versetzen, im Pilot Beta-Digital-Euro-Zahlungen anzunehmen und abzuwickeln.</w:t>
      </w:r>
    </w:p>
    <w:p w14:paraId="472AE8D4" w14:textId="70C1712A" w:rsidR="00EE5EF4" w:rsidRPr="00D04D09" w:rsidRDefault="00EE5EF4" w:rsidP="00D04D09">
      <w:pPr>
        <w:pStyle w:val="Clause"/>
        <w:numPr>
          <w:ilvl w:val="0"/>
          <w:numId w:val="26"/>
        </w:numPr>
        <w:ind w:left="360"/>
        <w:rPr>
          <w:rFonts w:asciiTheme="majorHAnsi" w:hAnsiTheme="majorHAnsi" w:cstheme="majorHAnsi"/>
          <w:lang w:val="de-DE"/>
        </w:rPr>
      </w:pPr>
      <w:r>
        <w:rPr>
          <w:rFonts w:asciiTheme="majorHAnsi" w:hAnsiTheme="majorHAnsi" w:cstheme="majorHAnsi"/>
          <w:sz w:val="22"/>
          <w:lang w:val="de-DE"/>
        </w:rPr>
        <w:t xml:space="preserve">„Pilotbetrieb“ bezeichnet die gemeinsamen Aktivitäten der Europäischen Zentralbank und der teilnehmenden nationalen Zentralbanken zur Validierung, zum Betrieb und zur </w:t>
      </w:r>
      <w:r w:rsidR="00D04D09" w:rsidRPr="00561F9D">
        <w:rPr>
          <w:rFonts w:asciiTheme="majorHAnsi" w:hAnsiTheme="majorHAnsi" w:cstheme="majorHAnsi"/>
          <w:sz w:val="22"/>
          <w:lang w:val="de-DE"/>
        </w:rPr>
        <w:t>Verbesserung der technologischen Einsatzbereitschaft der DESP-Komponenten,</w:t>
      </w:r>
      <w:r>
        <w:rPr>
          <w:rFonts w:asciiTheme="majorHAnsi" w:hAnsiTheme="majorHAnsi" w:cstheme="majorHAnsi"/>
          <w:sz w:val="22"/>
          <w:lang w:val="de-DE"/>
        </w:rPr>
        <w:t xml:space="preserve"> Schnittstellen, Prozesse und </w:t>
      </w:r>
      <w:r w:rsidR="00D04D09" w:rsidRPr="00D04D09">
        <w:rPr>
          <w:rFonts w:asciiTheme="majorHAnsi" w:hAnsiTheme="majorHAnsi" w:cstheme="majorHAnsi"/>
          <w:sz w:val="22"/>
          <w:lang w:val="de-DE"/>
        </w:rPr>
        <w:t>Interaktionen in den priorisierten Anwendungsfällen in einer kontrollierten Umgebung unter Verwendung der Beta-Version des digitalen Euro, als Vorbereitung auf eine mögliche Einführung des digitalen Euro.</w:t>
      </w:r>
    </w:p>
    <w:p w14:paraId="5432F730"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„Pilotentwicklungsphase“ bezeichnet den Zeitraum ab Unterzeichnung dieser Teilnahmevereinbarung bis zum Abschluss der für den Pilothändler erforderlichen Einrichtung, Integration, Tests und Betriebsbereitschaft.</w:t>
      </w:r>
    </w:p>
    <w:p w14:paraId="4241D50A"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lastRenderedPageBreak/>
        <w:t>„Pilotfläche“ bezeichnet die dem Pilothändler am Pilotstandort nach Anhang D zur Nutzung zugewiesene und im Lage- und Standplan (Anhang D1) bezeichnete Verkaufsfläche einschließlich der ihm zugewiesenen Lagerbereiche.</w:t>
      </w:r>
    </w:p>
    <w:p w14:paraId="7296A9FC" w14:textId="77777777" w:rsidR="00EE5EF4" w:rsidRPr="00B833E3" w:rsidRDefault="00EE5EF4">
      <w:pPr>
        <w:pStyle w:val="Clause"/>
        <w:numPr>
          <w:ilvl w:val="0"/>
          <w:numId w:val="26"/>
        </w:numPr>
        <w:ind w:left="360"/>
        <w:rPr>
          <w:rFonts w:asciiTheme="majorHAnsi" w:hAnsiTheme="majorHAnsi" w:cstheme="majorHAnsi"/>
          <w:sz w:val="22"/>
          <w:lang w:val="de-DE"/>
        </w:rPr>
      </w:pPr>
      <w:r w:rsidRPr="00B833E3">
        <w:rPr>
          <w:rFonts w:asciiTheme="majorHAnsi" w:hAnsiTheme="majorHAnsi" w:cstheme="majorHAnsi"/>
          <w:sz w:val="22"/>
          <w:lang w:val="de-DE"/>
        </w:rPr>
        <w:t xml:space="preserve">„Pilothändler“ bezeichnet </w:t>
      </w:r>
      <w:r>
        <w:rPr>
          <w:rFonts w:asciiTheme="majorHAnsi" w:hAnsiTheme="majorHAnsi" w:cstheme="majorHAnsi"/>
          <w:sz w:val="22"/>
          <w:lang w:val="de-DE"/>
        </w:rPr>
        <w:t>die Vertragspartei wie im Abschnitt „Vertragsparteien“ definiert</w:t>
      </w:r>
      <w:r w:rsidRPr="00B833E3">
        <w:rPr>
          <w:rFonts w:asciiTheme="majorHAnsi" w:hAnsiTheme="majorHAnsi" w:cstheme="majorHAnsi"/>
          <w:sz w:val="22"/>
          <w:lang w:val="de-DE"/>
        </w:rPr>
        <w:t>.</w:t>
      </w:r>
    </w:p>
    <w:p w14:paraId="19042215" w14:textId="77777777" w:rsidR="00EE5EF4" w:rsidRPr="009A0817" w:rsidRDefault="00EE5EF4">
      <w:pPr>
        <w:pStyle w:val="Clause"/>
        <w:numPr>
          <w:ilvl w:val="0"/>
          <w:numId w:val="26"/>
        </w:numPr>
        <w:ind w:left="360"/>
        <w:rPr>
          <w:rFonts w:asciiTheme="majorHAnsi" w:hAnsiTheme="majorHAnsi" w:cstheme="majorHAnsi"/>
          <w:sz w:val="22"/>
          <w:lang w:val="de-DE"/>
        </w:rPr>
      </w:pPr>
      <w:r w:rsidRPr="009A0817">
        <w:rPr>
          <w:rFonts w:asciiTheme="majorHAnsi" w:hAnsiTheme="majorHAnsi" w:cstheme="majorHAnsi"/>
          <w:sz w:val="22"/>
          <w:lang w:val="de-DE"/>
        </w:rPr>
        <w:t>„Pilot-PSP“ bezeichnet einen Zahlungsdienstleister, der am Pilotbetrieb teilnimmt.</w:t>
      </w:r>
    </w:p>
    <w:p w14:paraId="4E9C4B15" w14:textId="77777777" w:rsidR="00EE5EF4" w:rsidRPr="009A0817" w:rsidRDefault="00EE5EF4">
      <w:pPr>
        <w:pStyle w:val="Clause"/>
        <w:numPr>
          <w:ilvl w:val="0"/>
          <w:numId w:val="26"/>
        </w:numPr>
        <w:ind w:left="360"/>
        <w:rPr>
          <w:rFonts w:asciiTheme="majorHAnsi" w:hAnsiTheme="majorHAnsi" w:cstheme="majorHAnsi"/>
          <w:sz w:val="22"/>
          <w:lang w:val="de-DE"/>
        </w:rPr>
      </w:pPr>
      <w:r w:rsidRPr="009A0817">
        <w:rPr>
          <w:rFonts w:asciiTheme="majorHAnsi" w:hAnsiTheme="majorHAnsi" w:cstheme="majorHAnsi"/>
          <w:sz w:val="22"/>
          <w:lang w:val="de-DE"/>
        </w:rPr>
        <w:t>„Pilotstandort“ bezeichnet die von der Bundesbank bestimmte Liegenschaft beziehungsweise den dort für den stationären Pilotbetrieb vorgesehenen räumlich abgegrenzten Verkaufs- oder Pilotbereich.</w:t>
      </w:r>
    </w:p>
    <w:p w14:paraId="5CF93B18" w14:textId="77777777" w:rsidR="00EE5EF4" w:rsidRPr="009A0817" w:rsidRDefault="00EE5EF4">
      <w:pPr>
        <w:pStyle w:val="Clause"/>
        <w:numPr>
          <w:ilvl w:val="0"/>
          <w:numId w:val="26"/>
        </w:numPr>
        <w:ind w:left="360"/>
        <w:rPr>
          <w:rFonts w:asciiTheme="majorHAnsi" w:hAnsiTheme="majorHAnsi" w:cstheme="majorHAnsi"/>
          <w:sz w:val="22"/>
          <w:lang w:val="de-DE"/>
        </w:rPr>
      </w:pPr>
      <w:r w:rsidRPr="009A0817">
        <w:rPr>
          <w:rFonts w:asciiTheme="majorHAnsi" w:hAnsiTheme="majorHAnsi" w:cstheme="majorHAnsi"/>
          <w:sz w:val="22"/>
          <w:lang w:val="de-DE"/>
        </w:rPr>
        <w:t>„Pilottransaktion“ bezeichnet eine im Rahmen des Pilotbetriebs am Pilotstandort mit der Beta-Version des digitalen Euro initiierte Zahlung, einschließlich technisch unterstützter Stornierungen und Rückabwicklungen.</w:t>
      </w:r>
    </w:p>
    <w:p w14:paraId="605CF915"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„Standortleistungen“ bezeichnet die von der Bundesbank am Pilotstandort erbrachten Leistungen gemäß Anhang D.</w:t>
      </w:r>
    </w:p>
    <w:p w14:paraId="69CC9403" w14:textId="35D5FB2E"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 xml:space="preserve">„Stationäre </w:t>
      </w:r>
      <w:r w:rsidR="00D04D09">
        <w:rPr>
          <w:rFonts w:asciiTheme="majorHAnsi" w:hAnsiTheme="majorHAnsi" w:cstheme="majorHAnsi"/>
          <w:sz w:val="22"/>
          <w:lang w:val="de-DE"/>
        </w:rPr>
        <w:t>Person-to-Business (</w:t>
      </w:r>
      <w:r>
        <w:rPr>
          <w:rFonts w:asciiTheme="majorHAnsi" w:hAnsiTheme="majorHAnsi" w:cstheme="majorHAnsi"/>
          <w:sz w:val="22"/>
          <w:lang w:val="de-DE"/>
        </w:rPr>
        <w:t>P2</w:t>
      </w:r>
      <w:proofErr w:type="gramStart"/>
      <w:r>
        <w:rPr>
          <w:rFonts w:asciiTheme="majorHAnsi" w:hAnsiTheme="majorHAnsi" w:cstheme="majorHAnsi"/>
          <w:sz w:val="22"/>
          <w:lang w:val="de-DE"/>
        </w:rPr>
        <w:t>B</w:t>
      </w:r>
      <w:r w:rsidR="00D04D09">
        <w:rPr>
          <w:rFonts w:asciiTheme="majorHAnsi" w:hAnsiTheme="majorHAnsi" w:cstheme="majorHAnsi"/>
          <w:sz w:val="22"/>
          <w:lang w:val="de-DE"/>
        </w:rPr>
        <w:t>)</w:t>
      </w:r>
      <w:r>
        <w:rPr>
          <w:rFonts w:asciiTheme="majorHAnsi" w:hAnsiTheme="majorHAnsi" w:cstheme="majorHAnsi"/>
          <w:sz w:val="22"/>
          <w:lang w:val="de-DE"/>
        </w:rPr>
        <w:t>-</w:t>
      </w:r>
      <w:proofErr w:type="gramEnd"/>
      <w:r>
        <w:rPr>
          <w:rFonts w:asciiTheme="majorHAnsi" w:hAnsiTheme="majorHAnsi" w:cstheme="majorHAnsi"/>
          <w:sz w:val="22"/>
          <w:lang w:val="de-DE"/>
        </w:rPr>
        <w:t>Zahlung“ bezeichnet eine Zahlung eines Individuellen Endnutzers an den Pilothändler (Person-to-Business, P2B) für Waren am Point of Sale des Pilotstandorts über die für den Pilot bereitgestellte Akzeptanzlösung.</w:t>
      </w:r>
    </w:p>
    <w:p w14:paraId="68571AD1" w14:textId="77777777" w:rsidR="00EE5EF4" w:rsidRPr="009A0817" w:rsidRDefault="00EE5EF4">
      <w:pPr>
        <w:pStyle w:val="Clause"/>
        <w:numPr>
          <w:ilvl w:val="0"/>
          <w:numId w:val="26"/>
        </w:numPr>
        <w:ind w:left="360"/>
        <w:rPr>
          <w:rFonts w:asciiTheme="majorHAnsi" w:hAnsiTheme="majorHAnsi" w:cstheme="majorHAnsi"/>
          <w:sz w:val="22"/>
          <w:lang w:val="de-DE"/>
        </w:rPr>
      </w:pPr>
      <w:r w:rsidRPr="009A0817">
        <w:rPr>
          <w:rFonts w:asciiTheme="majorHAnsi" w:hAnsiTheme="majorHAnsi" w:cstheme="majorHAnsi"/>
          <w:sz w:val="22"/>
          <w:lang w:val="de-DE"/>
        </w:rPr>
        <w:t xml:space="preserve">„Vertrauliche Informationen“ bezeichnen alle als vertraulich, bundesbankintern oder in vergleichbarer Weise gekennzeichneten oder nach den Umständen erkennbar schutzbedürftigen Informationen, Daten und Unterlagen einer Partei. Nicht erfasst sind Informationen, die ohne Pflichtverletzung öffentlich bekannt sind oder mit vorheriger schriftlicher Zustimmung der anderen Partei </w:t>
      </w:r>
      <w:r>
        <w:rPr>
          <w:rFonts w:asciiTheme="majorHAnsi" w:hAnsiTheme="majorHAnsi" w:cstheme="majorHAnsi"/>
          <w:sz w:val="22"/>
          <w:lang w:val="de-DE"/>
        </w:rPr>
        <w:t>öffentlich gemacht</w:t>
      </w:r>
      <w:r w:rsidRPr="009A0817">
        <w:rPr>
          <w:rFonts w:asciiTheme="majorHAnsi" w:hAnsiTheme="majorHAnsi" w:cstheme="majorHAnsi"/>
          <w:sz w:val="22"/>
          <w:lang w:val="de-DE"/>
        </w:rPr>
        <w:t xml:space="preserve"> </w:t>
      </w:r>
      <w:r>
        <w:rPr>
          <w:rFonts w:asciiTheme="majorHAnsi" w:hAnsiTheme="majorHAnsi" w:cstheme="majorHAnsi"/>
          <w:sz w:val="22"/>
          <w:lang w:val="de-DE"/>
        </w:rPr>
        <w:t>wurden</w:t>
      </w:r>
      <w:r w:rsidRPr="009A0817">
        <w:rPr>
          <w:rFonts w:asciiTheme="majorHAnsi" w:hAnsiTheme="majorHAnsi" w:cstheme="majorHAnsi"/>
          <w:sz w:val="22"/>
          <w:lang w:val="de-DE"/>
        </w:rPr>
        <w:t>.</w:t>
      </w:r>
    </w:p>
    <w:p w14:paraId="70ACBB0F" w14:textId="77777777" w:rsidR="00EE5EF4" w:rsidRDefault="00EE5EF4">
      <w:pPr>
        <w:pStyle w:val="Clause"/>
        <w:numPr>
          <w:ilvl w:val="0"/>
          <w:numId w:val="26"/>
        </w:numPr>
        <w:ind w:left="360"/>
        <w:rPr>
          <w:rFonts w:asciiTheme="majorHAnsi" w:hAnsiTheme="majorHAnsi" w:cstheme="majorHAnsi"/>
          <w:sz w:val="22"/>
          <w:lang w:val="de-DE"/>
        </w:rPr>
      </w:pPr>
      <w:r>
        <w:rPr>
          <w:rFonts w:asciiTheme="majorHAnsi" w:hAnsiTheme="majorHAnsi" w:cstheme="majorHAnsi"/>
          <w:sz w:val="22"/>
          <w:lang w:val="de-DE"/>
        </w:rPr>
        <w:t>„Zugesagter Teilnahmezeitraum“ bezeichnet den in Anhang A Nummer 2 festgelegten Zeitraum, für den der Pilothändler seine Teilnahme an der Operativen Pilotphase zugesagt hat (§ 2 Absatz 4).</w:t>
      </w:r>
    </w:p>
    <w:p w14:paraId="2D91274F"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2 Gegenstand und allgemeine Grundsätze</w:t>
      </w:r>
    </w:p>
    <w:p w14:paraId="349DDB17" w14:textId="367C7462"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1.</w:t>
      </w:r>
      <w:r w:rsidRPr="009A0817">
        <w:rPr>
          <w:rFonts w:asciiTheme="majorHAnsi" w:hAnsiTheme="majorHAnsi" w:cstheme="majorHAnsi"/>
          <w:sz w:val="22"/>
          <w:lang w:val="de-DE"/>
        </w:rPr>
        <w:tab/>
        <w:t xml:space="preserve">Diese Teilnahmevereinbarung regelt das </w:t>
      </w:r>
      <w:r w:rsidR="006030D4">
        <w:rPr>
          <w:rFonts w:asciiTheme="majorHAnsi" w:hAnsiTheme="majorHAnsi" w:cstheme="majorHAnsi"/>
          <w:sz w:val="22"/>
          <w:lang w:val="de-DE"/>
        </w:rPr>
        <w:t>V</w:t>
      </w:r>
      <w:r w:rsidRPr="009A0817">
        <w:rPr>
          <w:rFonts w:asciiTheme="majorHAnsi" w:hAnsiTheme="majorHAnsi" w:cstheme="majorHAnsi"/>
          <w:sz w:val="22"/>
          <w:lang w:val="de-DE"/>
        </w:rPr>
        <w:t xml:space="preserve">erhältnis zwischen der Bundesbank und dem Pilothändler im Hinblick auf dessen Teilnahme am Pilotbetrieb als </w:t>
      </w:r>
      <w:r>
        <w:rPr>
          <w:rFonts w:asciiTheme="majorHAnsi" w:hAnsiTheme="majorHAnsi" w:cstheme="majorHAnsi"/>
          <w:sz w:val="22"/>
          <w:lang w:val="de-DE"/>
        </w:rPr>
        <w:t>G</w:t>
      </w:r>
      <w:r w:rsidRPr="009A0817">
        <w:rPr>
          <w:rFonts w:asciiTheme="majorHAnsi" w:hAnsiTheme="majorHAnsi" w:cstheme="majorHAnsi"/>
          <w:sz w:val="22"/>
          <w:lang w:val="de-DE"/>
        </w:rPr>
        <w:t>eschäftlicher Endnutzer.</w:t>
      </w:r>
    </w:p>
    <w:p w14:paraId="26EACF95" w14:textId="77777777"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2.</w:t>
      </w:r>
      <w:r w:rsidRPr="009A0817">
        <w:rPr>
          <w:rFonts w:asciiTheme="majorHAnsi" w:hAnsiTheme="majorHAnsi" w:cstheme="majorHAnsi"/>
          <w:sz w:val="22"/>
          <w:lang w:val="de-DE"/>
        </w:rPr>
        <w:tab/>
        <w:t xml:space="preserve">Gegenstand dieser Vereinbarung sind ausschließlich </w:t>
      </w:r>
      <w:r>
        <w:rPr>
          <w:rFonts w:asciiTheme="majorHAnsi" w:hAnsiTheme="majorHAnsi" w:cstheme="majorHAnsi"/>
          <w:sz w:val="22"/>
          <w:lang w:val="de-DE"/>
        </w:rPr>
        <w:t>S</w:t>
      </w:r>
      <w:r w:rsidRPr="009A0817">
        <w:rPr>
          <w:rFonts w:asciiTheme="majorHAnsi" w:hAnsiTheme="majorHAnsi" w:cstheme="majorHAnsi"/>
          <w:sz w:val="22"/>
          <w:lang w:val="de-DE"/>
        </w:rPr>
        <w:t xml:space="preserve">tationäre P2B-Zahlungen am Point of Sale des Pilotstandorts </w:t>
      </w:r>
      <w:r>
        <w:rPr>
          <w:rFonts w:asciiTheme="majorHAnsi" w:hAnsiTheme="majorHAnsi" w:cstheme="majorHAnsi"/>
          <w:sz w:val="22"/>
          <w:lang w:val="de-DE"/>
        </w:rPr>
        <w:t>einschließlich Stornierungen und Erstattungen des Pilothändlers an Individuelle Endnutzer, soweit die Akzeptanzlösung sie technisch unterstützt</w:t>
      </w:r>
      <w:r w:rsidRPr="009A0817">
        <w:rPr>
          <w:rFonts w:asciiTheme="majorHAnsi" w:hAnsiTheme="majorHAnsi" w:cstheme="majorHAnsi"/>
          <w:sz w:val="22"/>
          <w:lang w:val="de-DE"/>
        </w:rPr>
        <w:t>.</w:t>
      </w:r>
    </w:p>
    <w:p w14:paraId="192A52E2" w14:textId="56933439"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3.</w:t>
      </w:r>
      <w:r w:rsidRPr="009A0817">
        <w:rPr>
          <w:rFonts w:asciiTheme="majorHAnsi" w:hAnsiTheme="majorHAnsi" w:cstheme="majorHAnsi"/>
          <w:sz w:val="22"/>
          <w:lang w:val="de-DE"/>
        </w:rPr>
        <w:tab/>
        <w:t>Der Pilothändler nimmt während de</w:t>
      </w:r>
      <w:r>
        <w:rPr>
          <w:rFonts w:asciiTheme="majorHAnsi" w:hAnsiTheme="majorHAnsi" w:cstheme="majorHAnsi"/>
          <w:sz w:val="22"/>
          <w:lang w:val="de-DE"/>
        </w:rPr>
        <w:t>s</w:t>
      </w:r>
      <w:r w:rsidRPr="009A0817">
        <w:rPr>
          <w:rFonts w:asciiTheme="majorHAnsi" w:hAnsiTheme="majorHAnsi" w:cstheme="majorHAnsi"/>
          <w:sz w:val="22"/>
          <w:lang w:val="de-DE"/>
        </w:rPr>
        <w:t xml:space="preserve"> </w:t>
      </w:r>
      <w:r>
        <w:rPr>
          <w:rFonts w:asciiTheme="majorHAnsi" w:hAnsiTheme="majorHAnsi" w:cstheme="majorHAnsi"/>
          <w:sz w:val="22"/>
          <w:lang w:val="de-DE"/>
        </w:rPr>
        <w:t xml:space="preserve">Zugesagten Teilnahmezeitraums innerhalb </w:t>
      </w:r>
      <w:r w:rsidRPr="009A0817">
        <w:rPr>
          <w:rFonts w:asciiTheme="majorHAnsi" w:hAnsiTheme="majorHAnsi" w:cstheme="majorHAnsi"/>
          <w:sz w:val="22"/>
          <w:lang w:val="de-DE"/>
        </w:rPr>
        <w:t xml:space="preserve">der </w:t>
      </w:r>
      <w:r>
        <w:rPr>
          <w:rFonts w:asciiTheme="majorHAnsi" w:hAnsiTheme="majorHAnsi" w:cstheme="majorHAnsi"/>
          <w:sz w:val="22"/>
          <w:lang w:val="de-DE"/>
        </w:rPr>
        <w:t>O</w:t>
      </w:r>
      <w:r w:rsidRPr="009A0817">
        <w:rPr>
          <w:rFonts w:asciiTheme="majorHAnsi" w:hAnsiTheme="majorHAnsi" w:cstheme="majorHAnsi"/>
          <w:sz w:val="22"/>
          <w:lang w:val="de-DE"/>
        </w:rPr>
        <w:t xml:space="preserve">perativen Pilotphase Beta-Digital-Euro-Zahlungen von zugelassenen </w:t>
      </w:r>
      <w:r>
        <w:rPr>
          <w:rFonts w:asciiTheme="majorHAnsi" w:hAnsiTheme="majorHAnsi" w:cstheme="majorHAnsi"/>
          <w:sz w:val="22"/>
          <w:lang w:val="de-DE"/>
        </w:rPr>
        <w:t>I</w:t>
      </w:r>
      <w:r w:rsidRPr="009A0817">
        <w:rPr>
          <w:rFonts w:asciiTheme="majorHAnsi" w:hAnsiTheme="majorHAnsi" w:cstheme="majorHAnsi"/>
          <w:sz w:val="22"/>
          <w:lang w:val="de-DE"/>
        </w:rPr>
        <w:t>ndividuellen Endnutzern für die nach dieser Vereinbarung erfassten Pilottransaktionen an.</w:t>
      </w:r>
      <w:r w:rsidR="00D04D09">
        <w:rPr>
          <w:rFonts w:asciiTheme="majorHAnsi" w:hAnsiTheme="majorHAnsi" w:cstheme="majorHAnsi"/>
          <w:sz w:val="22"/>
          <w:lang w:val="de-DE"/>
        </w:rPr>
        <w:t xml:space="preserve"> </w:t>
      </w:r>
      <w:r w:rsidR="00D04D09" w:rsidRPr="001E2731">
        <w:rPr>
          <w:rFonts w:asciiTheme="majorHAnsi" w:hAnsiTheme="majorHAnsi" w:cstheme="majorHAnsi"/>
          <w:sz w:val="22"/>
          <w:lang w:val="de-DE"/>
        </w:rPr>
        <w:t>Soweit der Pilot</w:t>
      </w:r>
      <w:r w:rsidR="00D04D09">
        <w:rPr>
          <w:rFonts w:asciiTheme="majorHAnsi" w:hAnsiTheme="majorHAnsi" w:cstheme="majorHAnsi"/>
          <w:sz w:val="22"/>
          <w:lang w:val="de-DE"/>
        </w:rPr>
        <w:t>h</w:t>
      </w:r>
      <w:r w:rsidR="00D04D09" w:rsidRPr="001E2731">
        <w:rPr>
          <w:rFonts w:asciiTheme="majorHAnsi" w:hAnsiTheme="majorHAnsi" w:cstheme="majorHAnsi"/>
          <w:sz w:val="22"/>
          <w:lang w:val="de-DE"/>
        </w:rPr>
        <w:t>ändler während des Pilot</w:t>
      </w:r>
      <w:r w:rsidR="00D04D09">
        <w:rPr>
          <w:rFonts w:asciiTheme="majorHAnsi" w:hAnsiTheme="majorHAnsi" w:cstheme="majorHAnsi"/>
          <w:sz w:val="22"/>
          <w:lang w:val="de-DE"/>
        </w:rPr>
        <w:t>betriebs</w:t>
      </w:r>
      <w:r w:rsidR="00D04D09" w:rsidRPr="001E2731">
        <w:rPr>
          <w:rFonts w:asciiTheme="majorHAnsi" w:hAnsiTheme="majorHAnsi" w:cstheme="majorHAnsi"/>
          <w:sz w:val="22"/>
          <w:lang w:val="de-DE"/>
        </w:rPr>
        <w:t xml:space="preserve"> Beta-Digital-Euro als Zahlungsmittel akzeptiert, erfüllt die entsprechende Zahlung die jeweilige Zahlungsverpflichtung des </w:t>
      </w:r>
      <w:r w:rsidR="00D04D09">
        <w:rPr>
          <w:rFonts w:asciiTheme="majorHAnsi" w:hAnsiTheme="majorHAnsi" w:cstheme="majorHAnsi"/>
          <w:sz w:val="22"/>
          <w:lang w:val="de-DE"/>
        </w:rPr>
        <w:t>I</w:t>
      </w:r>
      <w:r w:rsidR="00D04D09" w:rsidRPr="001E2731">
        <w:rPr>
          <w:rFonts w:asciiTheme="majorHAnsi" w:hAnsiTheme="majorHAnsi" w:cstheme="majorHAnsi"/>
          <w:sz w:val="22"/>
          <w:lang w:val="de-DE"/>
        </w:rPr>
        <w:t>ndividuellen Endnutzers bis zur Höhe des akzeptierten Betrags.</w:t>
      </w:r>
    </w:p>
    <w:p w14:paraId="07BA7415" w14:textId="1F9F3CCB"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4.</w:t>
      </w:r>
      <w:r w:rsidRPr="009A0817">
        <w:rPr>
          <w:rFonts w:asciiTheme="majorHAnsi" w:hAnsiTheme="majorHAnsi" w:cstheme="majorHAnsi"/>
          <w:sz w:val="22"/>
          <w:lang w:val="de-DE"/>
        </w:rPr>
        <w:tab/>
        <w:t xml:space="preserve">Die </w:t>
      </w:r>
      <w:r>
        <w:rPr>
          <w:rFonts w:asciiTheme="majorHAnsi" w:hAnsiTheme="majorHAnsi" w:cstheme="majorHAnsi"/>
          <w:sz w:val="22"/>
          <w:lang w:val="de-DE"/>
        </w:rPr>
        <w:t>O</w:t>
      </w:r>
      <w:r w:rsidRPr="009A0817">
        <w:rPr>
          <w:rFonts w:asciiTheme="majorHAnsi" w:hAnsiTheme="majorHAnsi" w:cstheme="majorHAnsi"/>
          <w:sz w:val="22"/>
          <w:lang w:val="de-DE"/>
        </w:rPr>
        <w:t xml:space="preserve">perative Pilotphase ist für zwölf (12) Monate vorgesehen. Die Bundesbank kann </w:t>
      </w:r>
      <w:r w:rsidR="00971894">
        <w:rPr>
          <w:rFonts w:asciiTheme="majorHAnsi" w:hAnsiTheme="majorHAnsi" w:cstheme="majorHAnsi"/>
          <w:sz w:val="22"/>
          <w:lang w:val="de-DE"/>
        </w:rPr>
        <w:t xml:space="preserve">die Operative Pilotphase </w:t>
      </w:r>
      <w:r w:rsidR="00D04D09">
        <w:rPr>
          <w:rFonts w:asciiTheme="majorHAnsi" w:hAnsiTheme="majorHAnsi" w:cstheme="majorHAnsi"/>
          <w:sz w:val="22"/>
          <w:lang w:val="de-DE"/>
        </w:rPr>
        <w:t xml:space="preserve">einseitig </w:t>
      </w:r>
      <w:r w:rsidR="00D04D09" w:rsidRPr="009A0817">
        <w:rPr>
          <w:rFonts w:asciiTheme="majorHAnsi" w:hAnsiTheme="majorHAnsi" w:cstheme="majorHAnsi"/>
          <w:sz w:val="22"/>
          <w:lang w:val="de-DE"/>
        </w:rPr>
        <w:t xml:space="preserve">um </w:t>
      </w:r>
      <w:r w:rsidR="00D04D09">
        <w:rPr>
          <w:rFonts w:asciiTheme="majorHAnsi" w:hAnsiTheme="majorHAnsi" w:cstheme="majorHAnsi"/>
          <w:sz w:val="22"/>
          <w:lang w:val="de-DE"/>
        </w:rPr>
        <w:t xml:space="preserve">einen zusätzlichen Zeitraum von </w:t>
      </w:r>
      <w:r w:rsidR="00D04D09" w:rsidRPr="009A0817">
        <w:rPr>
          <w:rFonts w:asciiTheme="majorHAnsi" w:hAnsiTheme="majorHAnsi" w:cstheme="majorHAnsi"/>
          <w:sz w:val="22"/>
          <w:lang w:val="de-DE"/>
        </w:rPr>
        <w:t>bis zu sechs (6) Monate</w:t>
      </w:r>
      <w:r w:rsidR="00D04D09">
        <w:rPr>
          <w:rFonts w:asciiTheme="majorHAnsi" w:hAnsiTheme="majorHAnsi" w:cstheme="majorHAnsi"/>
          <w:sz w:val="22"/>
          <w:lang w:val="de-DE"/>
        </w:rPr>
        <w:t>n</w:t>
      </w:r>
      <w:r w:rsidR="00D04D09" w:rsidRPr="009A0817">
        <w:rPr>
          <w:rFonts w:asciiTheme="majorHAnsi" w:hAnsiTheme="majorHAnsi" w:cstheme="majorHAnsi"/>
          <w:sz w:val="22"/>
          <w:lang w:val="de-DE"/>
        </w:rPr>
        <w:t xml:space="preserve"> verlängern</w:t>
      </w:r>
      <w:r w:rsidRPr="009A0817">
        <w:rPr>
          <w:rFonts w:asciiTheme="majorHAnsi" w:hAnsiTheme="majorHAnsi" w:cstheme="majorHAnsi"/>
          <w:sz w:val="22"/>
          <w:lang w:val="de-DE"/>
        </w:rPr>
        <w:t>. Eine Verlängerung soll dem Pilothändler grundsätzlich mindestens drei (3) Monate vor Beginn des Verlängerungszeitraums schriftlich angekündigt werden.</w:t>
      </w:r>
      <w:r>
        <w:rPr>
          <w:rFonts w:asciiTheme="majorHAnsi" w:hAnsiTheme="majorHAnsi" w:cstheme="majorHAnsi"/>
          <w:sz w:val="22"/>
          <w:lang w:val="de-DE"/>
        </w:rPr>
        <w:t xml:space="preserve"> </w:t>
      </w:r>
      <w:r w:rsidRPr="00CA4C0C">
        <w:rPr>
          <w:rFonts w:asciiTheme="majorHAnsi" w:hAnsiTheme="majorHAnsi" w:cstheme="majorHAnsi"/>
          <w:sz w:val="22"/>
          <w:lang w:val="de-DE"/>
        </w:rPr>
        <w:t xml:space="preserve">Der Pilothändler verpflichtet sich zur Teilnahme </w:t>
      </w:r>
      <w:r>
        <w:rPr>
          <w:rFonts w:asciiTheme="majorHAnsi" w:hAnsiTheme="majorHAnsi" w:cstheme="majorHAnsi"/>
          <w:sz w:val="22"/>
          <w:lang w:val="de-DE"/>
        </w:rPr>
        <w:t>an der Operativen Pilotphase</w:t>
      </w:r>
      <w:r w:rsidRPr="00CA4C0C">
        <w:rPr>
          <w:rFonts w:asciiTheme="majorHAnsi" w:hAnsiTheme="majorHAnsi" w:cstheme="majorHAnsi"/>
          <w:sz w:val="22"/>
          <w:lang w:val="de-DE"/>
        </w:rPr>
        <w:t xml:space="preserve"> </w:t>
      </w:r>
      <w:r>
        <w:rPr>
          <w:rFonts w:asciiTheme="majorHAnsi" w:hAnsiTheme="majorHAnsi" w:cstheme="majorHAnsi"/>
          <w:sz w:val="22"/>
          <w:lang w:val="de-DE"/>
        </w:rPr>
        <w:t>für den Zugesagten Teilnahmezeitraum; dieser umfasst entsprechend seiner Interessenbekundung mindestens drei (3) und höchstens zwölf (12) Monate ab dem in Anhang A festgelegten Teilnahmebeginn</w:t>
      </w:r>
      <w:r w:rsidRPr="00CA4C0C">
        <w:rPr>
          <w:rFonts w:asciiTheme="majorHAnsi" w:hAnsiTheme="majorHAnsi" w:cstheme="majorHAnsi"/>
          <w:sz w:val="22"/>
          <w:lang w:val="de-DE"/>
        </w:rPr>
        <w:t xml:space="preserve">. Teilnahmebeginn ist der Beginn der </w:t>
      </w:r>
      <w:r>
        <w:rPr>
          <w:rFonts w:asciiTheme="majorHAnsi" w:hAnsiTheme="majorHAnsi" w:cstheme="majorHAnsi"/>
          <w:sz w:val="22"/>
          <w:lang w:val="de-DE"/>
        </w:rPr>
        <w:t>O</w:t>
      </w:r>
      <w:r w:rsidRPr="00CA4C0C">
        <w:rPr>
          <w:rFonts w:asciiTheme="majorHAnsi" w:hAnsiTheme="majorHAnsi" w:cstheme="majorHAnsi"/>
          <w:sz w:val="22"/>
          <w:lang w:val="de-DE"/>
        </w:rPr>
        <w:t xml:space="preserve">perativen Pilotphase oder ein späterer, mit der Bundesbank vereinbarter Zeitpunkt; der </w:t>
      </w:r>
      <w:r>
        <w:rPr>
          <w:rFonts w:asciiTheme="majorHAnsi" w:hAnsiTheme="majorHAnsi" w:cstheme="majorHAnsi"/>
          <w:sz w:val="22"/>
          <w:lang w:val="de-DE"/>
        </w:rPr>
        <w:t>Zugesagte T</w:t>
      </w:r>
      <w:r w:rsidRPr="00CA4C0C">
        <w:rPr>
          <w:rFonts w:asciiTheme="majorHAnsi" w:hAnsiTheme="majorHAnsi" w:cstheme="majorHAnsi"/>
          <w:sz w:val="22"/>
          <w:lang w:val="de-DE"/>
        </w:rPr>
        <w:t xml:space="preserve">eilnahmezeitraum muss innerhalb der für zwölf (12) Monate </w:t>
      </w:r>
      <w:r w:rsidRPr="00CA4C0C">
        <w:rPr>
          <w:rFonts w:asciiTheme="majorHAnsi" w:hAnsiTheme="majorHAnsi" w:cstheme="majorHAnsi"/>
          <w:sz w:val="22"/>
          <w:lang w:val="de-DE"/>
        </w:rPr>
        <w:lastRenderedPageBreak/>
        <w:t xml:space="preserve">vorgesehenen </w:t>
      </w:r>
      <w:r>
        <w:rPr>
          <w:rFonts w:asciiTheme="majorHAnsi" w:hAnsiTheme="majorHAnsi" w:cstheme="majorHAnsi"/>
          <w:sz w:val="22"/>
          <w:lang w:val="de-DE"/>
        </w:rPr>
        <w:t>O</w:t>
      </w:r>
      <w:r w:rsidRPr="00CA4C0C">
        <w:rPr>
          <w:rFonts w:asciiTheme="majorHAnsi" w:hAnsiTheme="majorHAnsi" w:cstheme="majorHAnsi"/>
          <w:sz w:val="22"/>
          <w:lang w:val="de-DE"/>
        </w:rPr>
        <w:t xml:space="preserve">perativen Pilotphase liegen. </w:t>
      </w:r>
      <w:r>
        <w:rPr>
          <w:rFonts w:asciiTheme="majorHAnsi" w:hAnsiTheme="majorHAnsi" w:cstheme="majorHAnsi"/>
          <w:sz w:val="22"/>
          <w:lang w:val="de-DE"/>
        </w:rPr>
        <w:t xml:space="preserve">Der Pilothändler kann diese Vereinbarung mit einer Frist von einem (1) Monat zum Monatsende in Textform kündigen, frühestens jedoch zum Ende des Monats, in dem drei (3) Monate seit dem Teilnahmebeginn vergangen sind (Mindestteilnahmezeitraum); dies gilt auch, wenn ein längerer Zugesagter Teilnahmezeitraum vereinbart ist. Eine Fortsetzung der Teilnahme über den Zugesagten Teilnahmezeitraum hinaus, insbesondere </w:t>
      </w:r>
      <w:r w:rsidR="00971894">
        <w:rPr>
          <w:rFonts w:asciiTheme="majorHAnsi" w:hAnsiTheme="majorHAnsi" w:cstheme="majorHAnsi"/>
          <w:sz w:val="22"/>
          <w:lang w:val="de-DE"/>
        </w:rPr>
        <w:t>für den Fall</w:t>
      </w:r>
      <w:r>
        <w:rPr>
          <w:rFonts w:asciiTheme="majorHAnsi" w:hAnsiTheme="majorHAnsi" w:cstheme="majorHAnsi"/>
          <w:sz w:val="22"/>
          <w:lang w:val="de-DE"/>
        </w:rPr>
        <w:t xml:space="preserve"> einer Verlängerung nach Satz 2, bedarf einer gesonderten Vereinbarung in Textform; für sie gelten die Bedingungen dieser Vereinbarung, soweit nichts Abweichendes vereinbart wird.</w:t>
      </w:r>
      <w:r w:rsidRPr="008066D9">
        <w:rPr>
          <w:rFonts w:asciiTheme="majorHAnsi" w:hAnsiTheme="majorHAnsi" w:cstheme="majorHAnsi"/>
          <w:sz w:val="22"/>
          <w:lang w:val="de-DE"/>
        </w:rPr>
        <w:t xml:space="preserve"> § 6 und § </w:t>
      </w:r>
      <w:r>
        <w:rPr>
          <w:rFonts w:asciiTheme="majorHAnsi" w:hAnsiTheme="majorHAnsi" w:cstheme="majorHAnsi"/>
          <w:sz w:val="22"/>
          <w:lang w:val="de-DE"/>
        </w:rPr>
        <w:t>15</w:t>
      </w:r>
      <w:r w:rsidRPr="008066D9">
        <w:rPr>
          <w:rFonts w:asciiTheme="majorHAnsi" w:hAnsiTheme="majorHAnsi" w:cstheme="majorHAnsi"/>
          <w:sz w:val="22"/>
          <w:lang w:val="de-DE"/>
        </w:rPr>
        <w:t xml:space="preserve"> Absatz 8 gelten</w:t>
      </w:r>
      <w:r w:rsidRPr="00CA4C0C">
        <w:rPr>
          <w:rFonts w:asciiTheme="majorHAnsi" w:hAnsiTheme="majorHAnsi" w:cstheme="majorHAnsi"/>
          <w:sz w:val="22"/>
          <w:lang w:val="de-DE"/>
        </w:rPr>
        <w:t xml:space="preserve"> entsprechend.</w:t>
      </w:r>
    </w:p>
    <w:p w14:paraId="17040427" w14:textId="2E903CA5"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5.</w:t>
      </w:r>
      <w:r w:rsidRPr="009A0817">
        <w:rPr>
          <w:rFonts w:asciiTheme="majorHAnsi" w:hAnsiTheme="majorHAnsi" w:cstheme="majorHAnsi"/>
          <w:sz w:val="22"/>
          <w:lang w:val="de-DE"/>
        </w:rPr>
        <w:tab/>
        <w:t xml:space="preserve">Diese Teilnahmevereinbarung </w:t>
      </w:r>
      <w:r w:rsidR="006030D4">
        <w:rPr>
          <w:rFonts w:asciiTheme="majorHAnsi" w:hAnsiTheme="majorHAnsi" w:cstheme="majorHAnsi"/>
          <w:sz w:val="22"/>
          <w:lang w:val="de-DE"/>
        </w:rPr>
        <w:t>bezieht sich</w:t>
      </w:r>
      <w:r w:rsidRPr="009A0817">
        <w:rPr>
          <w:rFonts w:asciiTheme="majorHAnsi" w:hAnsiTheme="majorHAnsi" w:cstheme="majorHAnsi"/>
          <w:sz w:val="22"/>
          <w:lang w:val="de-DE"/>
        </w:rPr>
        <w:t xml:space="preserve"> ausschließlich auf den Pilotbetrieb</w:t>
      </w:r>
      <w:r>
        <w:rPr>
          <w:rFonts w:asciiTheme="majorHAnsi" w:hAnsiTheme="majorHAnsi" w:cstheme="majorHAnsi"/>
          <w:sz w:val="22"/>
          <w:lang w:val="de-DE"/>
        </w:rPr>
        <w:t>. Sie greift weder einer etwaigen späteren</w:t>
      </w:r>
      <w:r w:rsidRPr="0044156A">
        <w:rPr>
          <w:rFonts w:asciiTheme="majorHAnsi" w:hAnsiTheme="majorHAnsi" w:cstheme="majorHAnsi"/>
          <w:sz w:val="22"/>
          <w:lang w:val="de-DE"/>
        </w:rPr>
        <w:t xml:space="preserve"> Einführung oder Ausgabe eines digitalen Euro</w:t>
      </w:r>
      <w:r>
        <w:rPr>
          <w:rFonts w:asciiTheme="majorHAnsi" w:hAnsiTheme="majorHAnsi" w:cstheme="majorHAnsi"/>
          <w:sz w:val="22"/>
          <w:lang w:val="de-DE"/>
        </w:rPr>
        <w:t xml:space="preserve"> noch dessen Ausgestaltung vor.</w:t>
      </w:r>
    </w:p>
    <w:p w14:paraId="101FFA54" w14:textId="77777777"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6.</w:t>
      </w:r>
      <w:r w:rsidRPr="009A0817">
        <w:rPr>
          <w:rFonts w:asciiTheme="majorHAnsi" w:hAnsiTheme="majorHAnsi" w:cstheme="majorHAnsi"/>
          <w:sz w:val="22"/>
          <w:lang w:val="de-DE"/>
        </w:rPr>
        <w:tab/>
      </w:r>
      <w:r w:rsidRPr="00CA4C0C">
        <w:rPr>
          <w:rFonts w:asciiTheme="majorHAnsi" w:hAnsiTheme="majorHAnsi" w:cstheme="majorHAnsi"/>
          <w:sz w:val="22"/>
          <w:lang w:val="de-DE"/>
        </w:rPr>
        <w:t>Die Parteien arbeiten eng und transparent zusammen und nehmen ihre Rechte und Pflichten aus dieser Vereinbarung nach Treu und Glauben wahr.</w:t>
      </w:r>
    </w:p>
    <w:p w14:paraId="35D317CC" w14:textId="1CC9BB59"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7.</w:t>
      </w:r>
      <w:r w:rsidRPr="009A0817">
        <w:rPr>
          <w:rFonts w:asciiTheme="majorHAnsi" w:hAnsiTheme="majorHAnsi" w:cstheme="majorHAnsi"/>
          <w:sz w:val="22"/>
          <w:lang w:val="de-DE"/>
        </w:rPr>
        <w:tab/>
      </w:r>
      <w:r>
        <w:rPr>
          <w:rFonts w:asciiTheme="majorHAnsi" w:hAnsiTheme="majorHAnsi" w:cstheme="majorHAnsi"/>
          <w:sz w:val="22"/>
          <w:lang w:val="de-DE"/>
        </w:rPr>
        <w:t xml:space="preserve">Der Pilothändler </w:t>
      </w:r>
      <w:r w:rsidR="006030D4">
        <w:rPr>
          <w:rFonts w:asciiTheme="majorHAnsi" w:hAnsiTheme="majorHAnsi" w:cstheme="majorHAnsi"/>
          <w:sz w:val="22"/>
          <w:lang w:val="de-DE"/>
        </w:rPr>
        <w:t>erkennt an, dass er</w:t>
      </w:r>
      <w:r>
        <w:rPr>
          <w:rFonts w:asciiTheme="majorHAnsi" w:hAnsiTheme="majorHAnsi" w:cstheme="majorHAnsi"/>
          <w:sz w:val="22"/>
          <w:lang w:val="de-DE"/>
        </w:rPr>
        <w:t xml:space="preserve"> für die Teilnahme am Pilotbetrieb keine gesonderte Vergütung,</w:t>
      </w:r>
      <w:r w:rsidR="006030D4">
        <w:rPr>
          <w:rFonts w:asciiTheme="majorHAnsi" w:hAnsiTheme="majorHAnsi" w:cstheme="majorHAnsi"/>
          <w:sz w:val="22"/>
          <w:lang w:val="de-DE"/>
        </w:rPr>
        <w:t xml:space="preserve"> Anreize, sonstige Vorteile finanzieller oder nichtfinanzieller Art,</w:t>
      </w:r>
      <w:r>
        <w:rPr>
          <w:rFonts w:asciiTheme="majorHAnsi" w:hAnsiTheme="majorHAnsi" w:cstheme="majorHAnsi"/>
          <w:sz w:val="22"/>
          <w:lang w:val="de-DE"/>
        </w:rPr>
        <w:t xml:space="preserve"> Prämie oder Aufwandsentschädigung</w:t>
      </w:r>
      <w:r w:rsidR="00E36EF0">
        <w:rPr>
          <w:rFonts w:asciiTheme="majorHAnsi" w:hAnsiTheme="majorHAnsi" w:cstheme="majorHAnsi"/>
          <w:sz w:val="22"/>
          <w:lang w:val="de-DE"/>
        </w:rPr>
        <w:t xml:space="preserve"> (sofern in dieser Teilnahmevereinbarung nicht ausdrücklich abweichend geregelt)</w:t>
      </w:r>
      <w:r>
        <w:rPr>
          <w:rFonts w:asciiTheme="majorHAnsi" w:hAnsiTheme="majorHAnsi" w:cstheme="majorHAnsi"/>
          <w:sz w:val="22"/>
          <w:lang w:val="de-DE"/>
        </w:rPr>
        <w:t xml:space="preserve"> von der Bundesbank</w:t>
      </w:r>
      <w:r w:rsidR="006030D4">
        <w:rPr>
          <w:rFonts w:asciiTheme="majorHAnsi" w:hAnsiTheme="majorHAnsi" w:cstheme="majorHAnsi"/>
          <w:sz w:val="22"/>
          <w:lang w:val="de-DE"/>
        </w:rPr>
        <w:t xml:space="preserve"> erhält</w:t>
      </w:r>
      <w:r>
        <w:rPr>
          <w:rFonts w:asciiTheme="majorHAnsi" w:hAnsiTheme="majorHAnsi" w:cstheme="majorHAnsi"/>
          <w:sz w:val="22"/>
          <w:lang w:val="de-DE"/>
        </w:rPr>
        <w:t>. Die unentgeltliche Bereitstellung der Pilotfläche und der Standortleistungen nach Anhang D dient ausschließlich der Durchführung des Pilotbetriebs und stellt keine Vergütung für die Teilnahme dar. Eine Umsatz- oder Transaktionsgarantie besteht nicht.</w:t>
      </w:r>
    </w:p>
    <w:p w14:paraId="7E44B82F" w14:textId="628BEACA"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8.</w:t>
      </w:r>
      <w:r w:rsidRPr="009A0817">
        <w:rPr>
          <w:rFonts w:asciiTheme="majorHAnsi" w:hAnsiTheme="majorHAnsi" w:cstheme="majorHAnsi"/>
          <w:sz w:val="22"/>
          <w:lang w:val="de-DE"/>
        </w:rPr>
        <w:tab/>
      </w:r>
      <w:r>
        <w:rPr>
          <w:rFonts w:asciiTheme="majorHAnsi" w:hAnsiTheme="majorHAnsi" w:cstheme="majorHAnsi"/>
          <w:sz w:val="22"/>
          <w:lang w:val="de-DE"/>
        </w:rPr>
        <w:t xml:space="preserve">Erlöse aus tatsächlich verkauften Waren stehen dem Pilothändler zu. </w:t>
      </w:r>
      <w:r w:rsidRPr="009A0817">
        <w:rPr>
          <w:rFonts w:asciiTheme="majorHAnsi" w:hAnsiTheme="majorHAnsi" w:cstheme="majorHAnsi"/>
          <w:sz w:val="22"/>
          <w:lang w:val="de-DE"/>
        </w:rPr>
        <w:t xml:space="preserve">Der Pilothändler </w:t>
      </w:r>
      <w:r w:rsidR="00E36EF0">
        <w:rPr>
          <w:rFonts w:asciiTheme="majorHAnsi" w:hAnsiTheme="majorHAnsi" w:cstheme="majorHAnsi"/>
          <w:sz w:val="22"/>
          <w:lang w:val="de-DE"/>
        </w:rPr>
        <w:t xml:space="preserve">darf für Zahlungen unter Verwendung </w:t>
      </w:r>
      <w:r w:rsidRPr="009A0817">
        <w:rPr>
          <w:rFonts w:asciiTheme="majorHAnsi" w:hAnsiTheme="majorHAnsi" w:cstheme="majorHAnsi"/>
          <w:sz w:val="22"/>
          <w:lang w:val="de-DE"/>
        </w:rPr>
        <w:t xml:space="preserve">der Beta-Version des digitalen Euro keinen zusätzlichen Preisaufschlag oder sonstiges Pilotentgelt gegenüber den </w:t>
      </w:r>
      <w:r>
        <w:rPr>
          <w:rFonts w:asciiTheme="majorHAnsi" w:hAnsiTheme="majorHAnsi" w:cstheme="majorHAnsi"/>
          <w:sz w:val="22"/>
          <w:lang w:val="de-DE"/>
        </w:rPr>
        <w:t>I</w:t>
      </w:r>
      <w:r w:rsidRPr="009A0817">
        <w:rPr>
          <w:rFonts w:asciiTheme="majorHAnsi" w:hAnsiTheme="majorHAnsi" w:cstheme="majorHAnsi"/>
          <w:sz w:val="22"/>
          <w:lang w:val="de-DE"/>
        </w:rPr>
        <w:t>ndividuellen Endnutzern</w:t>
      </w:r>
      <w:r w:rsidR="00E36EF0">
        <w:rPr>
          <w:rFonts w:asciiTheme="majorHAnsi" w:hAnsiTheme="majorHAnsi" w:cstheme="majorHAnsi"/>
          <w:sz w:val="22"/>
          <w:lang w:val="de-DE"/>
        </w:rPr>
        <w:t xml:space="preserve"> erheben, </w:t>
      </w:r>
      <w:proofErr w:type="gramStart"/>
      <w:r w:rsidR="00E36EF0">
        <w:rPr>
          <w:rFonts w:asciiTheme="majorHAnsi" w:hAnsiTheme="majorHAnsi" w:cstheme="majorHAnsi"/>
          <w:sz w:val="22"/>
          <w:lang w:val="de-DE"/>
        </w:rPr>
        <w:t>das</w:t>
      </w:r>
      <w:proofErr w:type="gramEnd"/>
      <w:r w:rsidR="00E36EF0">
        <w:rPr>
          <w:rFonts w:asciiTheme="majorHAnsi" w:hAnsiTheme="majorHAnsi" w:cstheme="majorHAnsi"/>
          <w:sz w:val="22"/>
          <w:lang w:val="de-DE"/>
        </w:rPr>
        <w:t xml:space="preserve"> er für Zahlungen in Euro nicht erhebt</w:t>
      </w:r>
      <w:r w:rsidRPr="009A0817">
        <w:rPr>
          <w:rFonts w:asciiTheme="majorHAnsi" w:hAnsiTheme="majorHAnsi" w:cstheme="majorHAnsi"/>
          <w:sz w:val="22"/>
          <w:lang w:val="de-DE"/>
        </w:rPr>
        <w:t>.</w:t>
      </w:r>
    </w:p>
    <w:p w14:paraId="2D5AE36E" w14:textId="2A18C00A"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9.</w:t>
      </w:r>
      <w:r w:rsidRPr="009A0817">
        <w:rPr>
          <w:rFonts w:asciiTheme="majorHAnsi" w:hAnsiTheme="majorHAnsi" w:cstheme="majorHAnsi"/>
          <w:sz w:val="22"/>
          <w:lang w:val="de-DE"/>
        </w:rPr>
        <w:tab/>
        <w:t xml:space="preserve">Aus der Auswahl und Teilnahme </w:t>
      </w:r>
      <w:r w:rsidRPr="008066D9">
        <w:rPr>
          <w:rFonts w:asciiTheme="majorHAnsi" w:hAnsiTheme="majorHAnsi" w:cstheme="majorHAnsi"/>
          <w:sz w:val="22"/>
          <w:lang w:val="de-DE"/>
        </w:rPr>
        <w:t xml:space="preserve">entstehen </w:t>
      </w:r>
      <w:r w:rsidRPr="00B55B97">
        <w:rPr>
          <w:rFonts w:asciiTheme="majorHAnsi" w:hAnsiTheme="majorHAnsi" w:cstheme="majorHAnsi"/>
          <w:sz w:val="22"/>
          <w:lang w:val="de-DE"/>
        </w:rPr>
        <w:t xml:space="preserve">keine Ansprüche </w:t>
      </w:r>
      <w:r w:rsidRPr="008066D9">
        <w:rPr>
          <w:rFonts w:asciiTheme="majorHAnsi" w:hAnsiTheme="majorHAnsi" w:cstheme="majorHAnsi"/>
          <w:sz w:val="22"/>
          <w:lang w:val="de-DE"/>
        </w:rPr>
        <w:t xml:space="preserve">auf </w:t>
      </w:r>
      <w:r w:rsidR="00E36EF0">
        <w:rPr>
          <w:rFonts w:asciiTheme="majorHAnsi" w:hAnsiTheme="majorHAnsi" w:cstheme="majorHAnsi"/>
          <w:sz w:val="22"/>
          <w:lang w:val="de-DE"/>
        </w:rPr>
        <w:t xml:space="preserve">gegenwärtige oder </w:t>
      </w:r>
      <w:r w:rsidRPr="008066D9">
        <w:rPr>
          <w:rFonts w:asciiTheme="majorHAnsi" w:hAnsiTheme="majorHAnsi" w:cstheme="majorHAnsi"/>
          <w:sz w:val="22"/>
          <w:lang w:val="de-DE"/>
        </w:rPr>
        <w:t>künftige</w:t>
      </w:r>
      <w:r w:rsidRPr="009A0817">
        <w:rPr>
          <w:rFonts w:asciiTheme="majorHAnsi" w:hAnsiTheme="majorHAnsi" w:cstheme="majorHAnsi"/>
          <w:sz w:val="22"/>
          <w:lang w:val="de-DE"/>
        </w:rPr>
        <w:t xml:space="preserve"> </w:t>
      </w:r>
      <w:r w:rsidR="00E36EF0">
        <w:rPr>
          <w:rFonts w:asciiTheme="majorHAnsi" w:hAnsiTheme="majorHAnsi" w:cstheme="majorHAnsi"/>
          <w:sz w:val="22"/>
          <w:lang w:val="de-DE"/>
        </w:rPr>
        <w:t xml:space="preserve">Rechte gegenüber oder </w:t>
      </w:r>
      <w:r w:rsidRPr="009A0817">
        <w:rPr>
          <w:rFonts w:asciiTheme="majorHAnsi" w:hAnsiTheme="majorHAnsi" w:cstheme="majorHAnsi"/>
          <w:sz w:val="22"/>
          <w:lang w:val="de-DE"/>
        </w:rPr>
        <w:t>Vertragsbeziehungen mit der Bundesbank oder anderen Zentralbanken des Eurosystems.</w:t>
      </w:r>
    </w:p>
    <w:p w14:paraId="12D3AC49" w14:textId="3034F7C9"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10.</w:t>
      </w:r>
      <w:r w:rsidRPr="009A0817">
        <w:rPr>
          <w:rFonts w:asciiTheme="majorHAnsi" w:hAnsiTheme="majorHAnsi" w:cstheme="majorHAnsi"/>
          <w:sz w:val="22"/>
          <w:lang w:val="de-DE"/>
        </w:rPr>
        <w:tab/>
      </w:r>
      <w:r>
        <w:rPr>
          <w:rFonts w:asciiTheme="majorHAnsi" w:hAnsiTheme="majorHAnsi" w:cstheme="majorHAnsi"/>
          <w:sz w:val="22"/>
          <w:lang w:val="de-DE"/>
        </w:rPr>
        <w:t xml:space="preserve"> Die Bundesbank kann technische, operative und organisatorische Anforderungen des Pilot</w:t>
      </w:r>
      <w:r w:rsidR="00E36EF0">
        <w:rPr>
          <w:rFonts w:asciiTheme="majorHAnsi" w:hAnsiTheme="majorHAnsi" w:cstheme="majorHAnsi"/>
          <w:sz w:val="22"/>
          <w:lang w:val="de-DE"/>
        </w:rPr>
        <w:t>betriebs</w:t>
      </w:r>
      <w:r>
        <w:rPr>
          <w:rFonts w:asciiTheme="majorHAnsi" w:hAnsiTheme="majorHAnsi" w:cstheme="majorHAnsi"/>
          <w:sz w:val="22"/>
          <w:lang w:val="de-DE"/>
        </w:rPr>
        <w:t xml:space="preserve"> sowie die Anhänge dieser Vereinbarung anpassen, soweit dies aufgrund (a) rechtlicher oder regulatorischer Vorgaben, (b) von Anforderungen an Sicherheit, Brandschutz, Datenschutz oder Gebäudebetrieb oder (c) der technischen</w:t>
      </w:r>
      <w:r w:rsidR="00E36EF0">
        <w:rPr>
          <w:rFonts w:asciiTheme="majorHAnsi" w:hAnsiTheme="majorHAnsi" w:cstheme="majorHAnsi"/>
          <w:sz w:val="22"/>
          <w:lang w:val="de-DE"/>
        </w:rPr>
        <w:t>,</w:t>
      </w:r>
      <w:r>
        <w:rPr>
          <w:rFonts w:asciiTheme="majorHAnsi" w:hAnsiTheme="majorHAnsi" w:cstheme="majorHAnsi"/>
          <w:sz w:val="22"/>
          <w:lang w:val="de-DE"/>
        </w:rPr>
        <w:t xml:space="preserve"> operativen </w:t>
      </w:r>
      <w:r w:rsidR="00E36EF0">
        <w:rPr>
          <w:rFonts w:asciiTheme="majorHAnsi" w:hAnsiTheme="majorHAnsi" w:cstheme="majorHAnsi"/>
          <w:sz w:val="22"/>
          <w:lang w:val="de-DE"/>
        </w:rPr>
        <w:t>oder andere sich verändernde Erfordernisse</w:t>
      </w:r>
      <w:r>
        <w:rPr>
          <w:rFonts w:asciiTheme="majorHAnsi" w:hAnsiTheme="majorHAnsi" w:cstheme="majorHAnsi"/>
          <w:sz w:val="22"/>
          <w:lang w:val="de-DE"/>
        </w:rPr>
        <w:t xml:space="preserve"> des Pilot</w:t>
      </w:r>
      <w:r w:rsidR="00E36EF0">
        <w:rPr>
          <w:rFonts w:asciiTheme="majorHAnsi" w:hAnsiTheme="majorHAnsi" w:cstheme="majorHAnsi"/>
          <w:sz w:val="22"/>
          <w:lang w:val="de-DE"/>
        </w:rPr>
        <w:t>betriebs</w:t>
      </w:r>
      <w:r>
        <w:rPr>
          <w:rFonts w:asciiTheme="majorHAnsi" w:hAnsiTheme="majorHAnsi" w:cstheme="majorHAnsi"/>
          <w:sz w:val="22"/>
          <w:lang w:val="de-DE"/>
        </w:rPr>
        <w:t xml:space="preserve"> durch das Eurosystem erforderlich ist. </w:t>
      </w:r>
      <w:r w:rsidR="002301E7" w:rsidRPr="002301E7">
        <w:rPr>
          <w:rFonts w:asciiTheme="majorHAnsi" w:hAnsiTheme="majorHAnsi" w:cstheme="majorHAnsi"/>
          <w:sz w:val="22"/>
          <w:lang w:val="de-DE"/>
        </w:rPr>
        <w:t>Ausgenommen sind Regelungen zu Haftung, Laufzeit und Kündigung, Vergütung und Kostentragung sowie zum Nutzungsrecht am Feedback (§ 10).</w:t>
      </w:r>
      <w:r w:rsidR="002301E7">
        <w:rPr>
          <w:rFonts w:asciiTheme="majorHAnsi" w:hAnsiTheme="majorHAnsi" w:cstheme="majorHAnsi"/>
          <w:sz w:val="22"/>
          <w:lang w:val="de-DE"/>
        </w:rPr>
        <w:t xml:space="preserve"> </w:t>
      </w:r>
      <w:r w:rsidRPr="008066D9">
        <w:rPr>
          <w:rFonts w:asciiTheme="majorHAnsi" w:hAnsiTheme="majorHAnsi" w:cstheme="majorHAnsi"/>
          <w:sz w:val="22"/>
          <w:lang w:val="de-DE"/>
        </w:rPr>
        <w:t xml:space="preserve">Änderungen werden </w:t>
      </w:r>
      <w:r>
        <w:rPr>
          <w:rFonts w:asciiTheme="majorHAnsi" w:hAnsiTheme="majorHAnsi" w:cstheme="majorHAnsi"/>
          <w:sz w:val="22"/>
          <w:lang w:val="de-DE"/>
        </w:rPr>
        <w:t xml:space="preserve">dem Pilothändler </w:t>
      </w:r>
      <w:r w:rsidRPr="008066D9">
        <w:rPr>
          <w:rFonts w:asciiTheme="majorHAnsi" w:hAnsiTheme="majorHAnsi" w:cstheme="majorHAnsi"/>
          <w:sz w:val="22"/>
          <w:lang w:val="de-DE"/>
        </w:rPr>
        <w:t>schriftlich mit einer Vorlaufzeit von mindestens vier (4) Wochen</w:t>
      </w:r>
      <w:r w:rsidRPr="00B911B3">
        <w:rPr>
          <w:rFonts w:asciiTheme="majorHAnsi" w:hAnsiTheme="majorHAnsi" w:cstheme="majorHAnsi"/>
          <w:sz w:val="22"/>
          <w:lang w:val="de-DE"/>
        </w:rPr>
        <w:t xml:space="preserve"> </w:t>
      </w:r>
      <w:r>
        <w:rPr>
          <w:rFonts w:asciiTheme="majorHAnsi" w:hAnsiTheme="majorHAnsi" w:cstheme="majorHAnsi"/>
          <w:sz w:val="22"/>
          <w:lang w:val="de-DE"/>
        </w:rPr>
        <w:t>mitgeteilt</w:t>
      </w:r>
      <w:r w:rsidRPr="008066D9">
        <w:rPr>
          <w:rFonts w:asciiTheme="majorHAnsi" w:hAnsiTheme="majorHAnsi" w:cstheme="majorHAnsi"/>
          <w:sz w:val="22"/>
          <w:lang w:val="de-DE"/>
        </w:rPr>
        <w:t xml:space="preserve"> </w:t>
      </w:r>
      <w:r>
        <w:rPr>
          <w:rFonts w:asciiTheme="majorHAnsi" w:hAnsiTheme="majorHAnsi" w:cstheme="majorHAnsi"/>
          <w:sz w:val="22"/>
          <w:lang w:val="de-DE"/>
        </w:rPr>
        <w:t>und ihm eine angemessene Frist zur Umsetzung gewährt.</w:t>
      </w:r>
      <w:r w:rsidRPr="008066D9">
        <w:rPr>
          <w:rFonts w:asciiTheme="majorHAnsi" w:hAnsiTheme="majorHAnsi" w:cstheme="majorHAnsi"/>
          <w:sz w:val="22"/>
          <w:lang w:val="de-DE"/>
        </w:rPr>
        <w:t xml:space="preserve"> Der Pilothändler kann innerhalb von </w:t>
      </w:r>
      <w:r w:rsidR="00E36EF0">
        <w:rPr>
          <w:rFonts w:asciiTheme="majorHAnsi" w:hAnsiTheme="majorHAnsi" w:cstheme="majorHAnsi"/>
          <w:sz w:val="22"/>
          <w:lang w:val="de-DE"/>
        </w:rPr>
        <w:t>einundzwanzig (</w:t>
      </w:r>
      <w:r w:rsidRPr="008066D9">
        <w:rPr>
          <w:rFonts w:asciiTheme="majorHAnsi" w:hAnsiTheme="majorHAnsi" w:cstheme="majorHAnsi"/>
          <w:sz w:val="22"/>
          <w:lang w:val="de-DE"/>
        </w:rPr>
        <w:t>21</w:t>
      </w:r>
      <w:r w:rsidR="00E36EF0">
        <w:rPr>
          <w:rFonts w:asciiTheme="majorHAnsi" w:hAnsiTheme="majorHAnsi" w:cstheme="majorHAnsi"/>
          <w:sz w:val="22"/>
          <w:lang w:val="de-DE"/>
        </w:rPr>
        <w:t>)</w:t>
      </w:r>
      <w:r w:rsidRPr="008066D9">
        <w:rPr>
          <w:rFonts w:asciiTheme="majorHAnsi" w:hAnsiTheme="majorHAnsi" w:cstheme="majorHAnsi"/>
          <w:sz w:val="22"/>
          <w:lang w:val="de-DE"/>
        </w:rPr>
        <w:t xml:space="preserve"> Kalendertagen nach Zugang der Mitteilung begründet widersprechen. Die Parteien bemühen sich innerhalb von</w:t>
      </w:r>
      <w:r w:rsidR="00E36EF0">
        <w:rPr>
          <w:rFonts w:asciiTheme="majorHAnsi" w:hAnsiTheme="majorHAnsi" w:cstheme="majorHAnsi"/>
          <w:sz w:val="22"/>
          <w:lang w:val="de-DE"/>
        </w:rPr>
        <w:t xml:space="preserve"> dreißig</w:t>
      </w:r>
      <w:r w:rsidRPr="008066D9">
        <w:rPr>
          <w:rFonts w:asciiTheme="majorHAnsi" w:hAnsiTheme="majorHAnsi" w:cstheme="majorHAnsi"/>
          <w:sz w:val="22"/>
          <w:lang w:val="de-DE"/>
        </w:rPr>
        <w:t xml:space="preserve"> </w:t>
      </w:r>
      <w:r w:rsidR="00E36EF0">
        <w:rPr>
          <w:rFonts w:asciiTheme="majorHAnsi" w:hAnsiTheme="majorHAnsi" w:cstheme="majorHAnsi"/>
          <w:sz w:val="22"/>
          <w:lang w:val="de-DE"/>
        </w:rPr>
        <w:t>(</w:t>
      </w:r>
      <w:r w:rsidRPr="008066D9">
        <w:rPr>
          <w:rFonts w:asciiTheme="majorHAnsi" w:hAnsiTheme="majorHAnsi" w:cstheme="majorHAnsi"/>
          <w:sz w:val="22"/>
          <w:lang w:val="de-DE"/>
        </w:rPr>
        <w:t>30</w:t>
      </w:r>
      <w:r w:rsidR="00E36EF0">
        <w:rPr>
          <w:rFonts w:asciiTheme="majorHAnsi" w:hAnsiTheme="majorHAnsi" w:cstheme="majorHAnsi"/>
          <w:sz w:val="22"/>
          <w:lang w:val="de-DE"/>
        </w:rPr>
        <w:t>)</w:t>
      </w:r>
      <w:r w:rsidRPr="008066D9">
        <w:rPr>
          <w:rFonts w:asciiTheme="majorHAnsi" w:hAnsiTheme="majorHAnsi" w:cstheme="majorHAnsi"/>
          <w:sz w:val="22"/>
          <w:lang w:val="de-DE"/>
        </w:rPr>
        <w:t xml:space="preserve"> Kalendertagen nach Zugang des Widerspruchs um eine einvernehmliche Lösung.</w:t>
      </w:r>
      <w:r>
        <w:rPr>
          <w:rFonts w:asciiTheme="majorHAnsi" w:hAnsiTheme="majorHAnsi" w:cstheme="majorHAnsi"/>
          <w:sz w:val="22"/>
          <w:lang w:val="de-DE"/>
        </w:rPr>
        <w:t xml:space="preserve"> </w:t>
      </w:r>
      <w:r w:rsidRPr="008066D9">
        <w:rPr>
          <w:rFonts w:asciiTheme="majorHAnsi" w:hAnsiTheme="majorHAnsi" w:cstheme="majorHAnsi"/>
          <w:sz w:val="22"/>
          <w:lang w:val="de-DE"/>
        </w:rPr>
        <w:t xml:space="preserve">Kommt </w:t>
      </w:r>
      <w:r>
        <w:rPr>
          <w:rFonts w:asciiTheme="majorHAnsi" w:hAnsiTheme="majorHAnsi" w:cstheme="majorHAnsi"/>
          <w:sz w:val="22"/>
          <w:lang w:val="de-DE"/>
        </w:rPr>
        <w:t>keine Einigung</w:t>
      </w:r>
      <w:r w:rsidRPr="008066D9">
        <w:rPr>
          <w:rFonts w:asciiTheme="majorHAnsi" w:hAnsiTheme="majorHAnsi" w:cstheme="majorHAnsi"/>
          <w:sz w:val="22"/>
          <w:lang w:val="de-DE"/>
        </w:rPr>
        <w:t xml:space="preserve"> zustande, kann der Pilothändler die Vereinbarung </w:t>
      </w:r>
      <w:r>
        <w:rPr>
          <w:rFonts w:asciiTheme="majorHAnsi" w:hAnsiTheme="majorHAnsi" w:cstheme="majorHAnsi"/>
          <w:sz w:val="22"/>
          <w:lang w:val="de-DE"/>
        </w:rPr>
        <w:t>innerhalb von vierzehn (14) Kalendertagen nach Ablauf dieser Frist mit einer Frist von vierzehn (14) Kalendertagen in Textform kündigen</w:t>
      </w:r>
      <w:r w:rsidRPr="008066D9">
        <w:rPr>
          <w:rFonts w:asciiTheme="majorHAnsi" w:hAnsiTheme="majorHAnsi" w:cstheme="majorHAnsi"/>
          <w:sz w:val="22"/>
          <w:lang w:val="de-DE"/>
        </w:rPr>
        <w:t xml:space="preserve">. Macht er von diesem Recht keinen Gebrauch, setzt er die mitgeteilten Anpassungen innerhalb der von der Bundesbank gesetzten angemessenen Frist um. Für das geordnete </w:t>
      </w:r>
      <w:proofErr w:type="spellStart"/>
      <w:r w:rsidRPr="008066D9">
        <w:rPr>
          <w:rFonts w:asciiTheme="majorHAnsi" w:hAnsiTheme="majorHAnsi" w:cstheme="majorHAnsi"/>
          <w:sz w:val="22"/>
          <w:lang w:val="de-DE"/>
        </w:rPr>
        <w:t>Offboarding</w:t>
      </w:r>
      <w:proofErr w:type="spellEnd"/>
      <w:r w:rsidRPr="008066D9">
        <w:rPr>
          <w:rFonts w:asciiTheme="majorHAnsi" w:hAnsiTheme="majorHAnsi" w:cstheme="majorHAnsi"/>
          <w:sz w:val="22"/>
          <w:lang w:val="de-DE"/>
        </w:rPr>
        <w:t xml:space="preserve"> gelten § 6 und § </w:t>
      </w:r>
      <w:r>
        <w:rPr>
          <w:rFonts w:asciiTheme="majorHAnsi" w:hAnsiTheme="majorHAnsi" w:cstheme="majorHAnsi"/>
          <w:sz w:val="22"/>
          <w:lang w:val="de-DE"/>
        </w:rPr>
        <w:t>15</w:t>
      </w:r>
      <w:r w:rsidRPr="008066D9">
        <w:rPr>
          <w:rFonts w:asciiTheme="majorHAnsi" w:hAnsiTheme="majorHAnsi" w:cstheme="majorHAnsi"/>
          <w:sz w:val="22"/>
          <w:lang w:val="de-DE"/>
        </w:rPr>
        <w:t xml:space="preserve"> Absatz 8.</w:t>
      </w:r>
      <w:r w:rsidRPr="00B911B3">
        <w:rPr>
          <w:rFonts w:asciiTheme="majorHAnsi" w:hAnsiTheme="majorHAnsi" w:cstheme="majorHAnsi"/>
          <w:sz w:val="22"/>
          <w:lang w:val="de-DE"/>
        </w:rPr>
        <w:t xml:space="preserve"> </w:t>
      </w:r>
      <w:r>
        <w:rPr>
          <w:rFonts w:asciiTheme="majorHAnsi" w:hAnsiTheme="majorHAnsi" w:cstheme="majorHAnsi"/>
          <w:sz w:val="22"/>
          <w:lang w:val="de-DE"/>
        </w:rPr>
        <w:t>Bei</w:t>
      </w:r>
      <w:r w:rsidRPr="008066D9">
        <w:rPr>
          <w:rFonts w:asciiTheme="majorHAnsi" w:hAnsiTheme="majorHAnsi" w:cstheme="majorHAnsi"/>
          <w:sz w:val="22"/>
          <w:lang w:val="de-DE"/>
        </w:rPr>
        <w:t xml:space="preserve"> Gefahr im Verzug oder aus zwingenden Sicherheitsgründen </w:t>
      </w:r>
      <w:r>
        <w:rPr>
          <w:rFonts w:asciiTheme="majorHAnsi" w:hAnsiTheme="majorHAnsi" w:cstheme="majorHAnsi"/>
          <w:sz w:val="22"/>
          <w:lang w:val="de-DE"/>
        </w:rPr>
        <w:t>kann eine Änderung auch</w:t>
      </w:r>
      <w:r w:rsidRPr="008066D9">
        <w:rPr>
          <w:rFonts w:asciiTheme="majorHAnsi" w:hAnsiTheme="majorHAnsi" w:cstheme="majorHAnsi"/>
          <w:sz w:val="22"/>
          <w:lang w:val="de-DE"/>
        </w:rPr>
        <w:t xml:space="preserve"> kurzfristig</w:t>
      </w:r>
      <w:r>
        <w:rPr>
          <w:rFonts w:asciiTheme="majorHAnsi" w:hAnsiTheme="majorHAnsi" w:cstheme="majorHAnsi"/>
          <w:sz w:val="22"/>
          <w:lang w:val="de-DE"/>
        </w:rPr>
        <w:t xml:space="preserve"> in Abweichung des beschriebenen Prozederes erfolgen. </w:t>
      </w:r>
    </w:p>
    <w:p w14:paraId="5D851E45" w14:textId="77777777" w:rsidR="00EE5EF4" w:rsidRPr="009A0817" w:rsidRDefault="00EE5EF4" w:rsidP="00EE5EF4">
      <w:pPr>
        <w:pStyle w:val="berschrift1"/>
        <w:numPr>
          <w:ilvl w:val="0"/>
          <w:numId w:val="0"/>
        </w:numPr>
        <w:tabs>
          <w:tab w:val="right" w:pos="9638"/>
        </w:tabs>
        <w:ind w:left="1134" w:hanging="1134"/>
        <w:rPr>
          <w:rFonts w:cstheme="majorHAnsi"/>
          <w:sz w:val="22"/>
          <w:szCs w:val="22"/>
        </w:rPr>
      </w:pPr>
      <w:r w:rsidRPr="009A0817">
        <w:rPr>
          <w:rFonts w:cstheme="majorHAnsi"/>
          <w:sz w:val="22"/>
          <w:szCs w:val="22"/>
        </w:rPr>
        <w:t>§ 3 Vertragsanhänge</w:t>
      </w:r>
      <w:r w:rsidRPr="009A0817">
        <w:rPr>
          <w:rFonts w:cstheme="majorHAnsi"/>
          <w:sz w:val="22"/>
          <w:szCs w:val="22"/>
        </w:rPr>
        <w:tab/>
      </w:r>
    </w:p>
    <w:p w14:paraId="56E72E48" w14:textId="77777777"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1.</w:t>
      </w:r>
      <w:r w:rsidRPr="009A0817">
        <w:rPr>
          <w:rFonts w:asciiTheme="majorHAnsi" w:hAnsiTheme="majorHAnsi" w:cstheme="majorHAnsi"/>
          <w:sz w:val="22"/>
          <w:lang w:val="de-DE"/>
        </w:rPr>
        <w:tab/>
        <w:t>Folgende Anhänge sind Bestandteil dieser Teilnahmevereinbarung:</w:t>
      </w:r>
    </w:p>
    <w:p w14:paraId="7DE76B9A" w14:textId="77777777" w:rsidR="00EE5EF4" w:rsidRPr="009A0817" w:rsidRDefault="00EE5EF4" w:rsidP="00EE5EF4">
      <w:pPr>
        <w:pStyle w:val="Textkrper"/>
        <w:ind w:left="329"/>
        <w:rPr>
          <w:rFonts w:asciiTheme="majorHAnsi" w:hAnsiTheme="majorHAnsi" w:cstheme="majorHAnsi"/>
          <w:szCs w:val="22"/>
        </w:rPr>
      </w:pPr>
      <w:r w:rsidRPr="009A0817">
        <w:rPr>
          <w:rFonts w:asciiTheme="majorHAnsi" w:hAnsiTheme="majorHAnsi" w:cstheme="majorHAnsi"/>
          <w:szCs w:val="22"/>
        </w:rPr>
        <w:lastRenderedPageBreak/>
        <w:t>A) Pilotzeitplan und Phasen</w:t>
      </w:r>
    </w:p>
    <w:p w14:paraId="3217DEEB" w14:textId="77777777" w:rsidR="00EE5EF4" w:rsidRPr="009A0817" w:rsidRDefault="00EE5EF4" w:rsidP="00EE5EF4">
      <w:pPr>
        <w:pStyle w:val="Textkrper"/>
        <w:ind w:left="329"/>
        <w:rPr>
          <w:rFonts w:asciiTheme="majorHAnsi" w:hAnsiTheme="majorHAnsi" w:cstheme="majorHAnsi"/>
          <w:szCs w:val="22"/>
        </w:rPr>
      </w:pPr>
      <w:r w:rsidRPr="009A0817">
        <w:rPr>
          <w:rFonts w:asciiTheme="majorHAnsi" w:hAnsiTheme="majorHAnsi" w:cstheme="majorHAnsi"/>
          <w:szCs w:val="22"/>
        </w:rPr>
        <w:t>B) Feedback- und Berichtsrahmen</w:t>
      </w:r>
    </w:p>
    <w:p w14:paraId="58CFAD78" w14:textId="77777777" w:rsidR="00EE5EF4" w:rsidRDefault="00EE5EF4" w:rsidP="00EE5EF4">
      <w:pPr>
        <w:pStyle w:val="Textkrper"/>
        <w:ind w:left="329"/>
        <w:rPr>
          <w:rFonts w:asciiTheme="majorHAnsi" w:hAnsiTheme="majorHAnsi" w:cstheme="majorHAnsi"/>
          <w:szCs w:val="22"/>
        </w:rPr>
      </w:pPr>
      <w:r w:rsidRPr="009A0817">
        <w:rPr>
          <w:rFonts w:asciiTheme="majorHAnsi" w:hAnsiTheme="majorHAnsi" w:cstheme="majorHAnsi"/>
          <w:szCs w:val="22"/>
        </w:rPr>
        <w:t>C) Kommunikationsleitlinien</w:t>
      </w:r>
    </w:p>
    <w:p w14:paraId="323EB51A" w14:textId="2591E9AD" w:rsidR="00EE5EF4" w:rsidRPr="009A0817" w:rsidRDefault="00EE5EF4" w:rsidP="00EE5EF4">
      <w:pPr>
        <w:pStyle w:val="Textkrper"/>
        <w:ind w:left="329"/>
        <w:rPr>
          <w:rFonts w:asciiTheme="majorHAnsi" w:hAnsiTheme="majorHAnsi" w:cstheme="majorHAnsi"/>
          <w:szCs w:val="22"/>
        </w:rPr>
      </w:pPr>
      <w:r>
        <w:rPr>
          <w:rFonts w:asciiTheme="majorHAnsi" w:hAnsiTheme="majorHAnsi" w:cstheme="majorHAnsi"/>
          <w:szCs w:val="22"/>
        </w:rPr>
        <w:t>D) Standort- und Flächennutzungsregelungen einschließlich Anhang D1 (Standortblatt und freigegebener Lage- und Standplan) und Anhang D2 (Regelblatt für Pilothändler)</w:t>
      </w:r>
    </w:p>
    <w:p w14:paraId="2AB67E7D" w14:textId="59651E57"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2.</w:t>
      </w:r>
      <w:r w:rsidRPr="009A0817">
        <w:rPr>
          <w:rFonts w:asciiTheme="majorHAnsi" w:hAnsiTheme="majorHAnsi" w:cstheme="majorHAnsi"/>
          <w:sz w:val="22"/>
          <w:lang w:val="de-DE"/>
        </w:rPr>
        <w:tab/>
        <w:t>Die Parteien</w:t>
      </w:r>
      <w:r w:rsidR="00D65A9D">
        <w:rPr>
          <w:rFonts w:asciiTheme="majorHAnsi" w:hAnsiTheme="majorHAnsi" w:cstheme="majorHAnsi"/>
          <w:sz w:val="22"/>
          <w:lang w:val="de-DE"/>
        </w:rPr>
        <w:t xml:space="preserve"> werden sich jederzeit bemühen, </w:t>
      </w:r>
      <w:r w:rsidR="00D65A9D" w:rsidRPr="00D65A9D">
        <w:rPr>
          <w:rFonts w:asciiTheme="majorHAnsi" w:hAnsiTheme="majorHAnsi" w:cstheme="majorHAnsi"/>
          <w:sz w:val="22"/>
          <w:lang w:val="de-DE"/>
        </w:rPr>
        <w:t xml:space="preserve">die Übereinstimmung zwischen den Bestimmungen dieser Teilnahmevereinbarung und ihren </w:t>
      </w:r>
      <w:r w:rsidR="00D65A9D">
        <w:rPr>
          <w:rFonts w:asciiTheme="majorHAnsi" w:hAnsiTheme="majorHAnsi" w:cstheme="majorHAnsi"/>
          <w:sz w:val="22"/>
          <w:lang w:val="de-DE"/>
        </w:rPr>
        <w:t>Anhängen</w:t>
      </w:r>
      <w:r w:rsidR="00D65A9D" w:rsidRPr="00D65A9D">
        <w:rPr>
          <w:rFonts w:asciiTheme="majorHAnsi" w:hAnsiTheme="majorHAnsi" w:cstheme="majorHAnsi"/>
          <w:sz w:val="22"/>
          <w:lang w:val="de-DE"/>
        </w:rPr>
        <w:t xml:space="preserve"> sicherzustellen</w:t>
      </w:r>
      <w:r w:rsidR="00D65A9D">
        <w:rPr>
          <w:rFonts w:asciiTheme="majorHAnsi" w:hAnsiTheme="majorHAnsi" w:cstheme="majorHAnsi"/>
          <w:sz w:val="22"/>
          <w:lang w:val="de-DE"/>
        </w:rPr>
        <w:t>. Sie</w:t>
      </w:r>
      <w:r w:rsidRPr="009A0817">
        <w:rPr>
          <w:rFonts w:asciiTheme="majorHAnsi" w:hAnsiTheme="majorHAnsi" w:cstheme="majorHAnsi"/>
          <w:sz w:val="22"/>
          <w:lang w:val="de-DE"/>
        </w:rPr>
        <w:t xml:space="preserve"> bemühen sich um eine widerspruchsfreie Anwendung dieser Vereinbarung und ihrer Anhänge. Bei Widersprüchen geht der Text dieser Teilnahmevereinbarung vor, sofern ein Anhang nicht ausdrücklich etwas anderes bestimmt.</w:t>
      </w:r>
    </w:p>
    <w:p w14:paraId="361F454C" w14:textId="351F0418"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3.</w:t>
      </w:r>
      <w:r>
        <w:rPr>
          <w:rFonts w:asciiTheme="majorHAnsi" w:hAnsiTheme="majorHAnsi" w:cstheme="majorHAnsi"/>
          <w:sz w:val="22"/>
          <w:lang w:val="de-DE"/>
        </w:rPr>
        <w:t xml:space="preserve"> </w:t>
      </w:r>
      <w:r w:rsidRPr="00347B87">
        <w:rPr>
          <w:rFonts w:asciiTheme="majorHAnsi" w:hAnsiTheme="majorHAnsi" w:cstheme="majorHAnsi"/>
          <w:sz w:val="22"/>
          <w:lang w:val="de-DE"/>
        </w:rPr>
        <w:t xml:space="preserve">Die Standort- und Flächennutzungsregelungen gemäß Anhang D sowie das Regelblatt nach </w:t>
      </w:r>
      <w:r>
        <w:rPr>
          <w:rFonts w:asciiTheme="majorHAnsi" w:hAnsiTheme="majorHAnsi" w:cstheme="majorHAnsi"/>
          <w:sz w:val="22"/>
          <w:lang w:val="de-DE"/>
        </w:rPr>
        <w:t>Anhang</w:t>
      </w:r>
      <w:r w:rsidRPr="00347B87">
        <w:rPr>
          <w:rFonts w:asciiTheme="majorHAnsi" w:hAnsiTheme="majorHAnsi" w:cstheme="majorHAnsi"/>
          <w:sz w:val="22"/>
          <w:lang w:val="de-DE"/>
        </w:rPr>
        <w:t xml:space="preserve"> D2 gelten ergänzend</w:t>
      </w:r>
      <w:r>
        <w:rPr>
          <w:rFonts w:asciiTheme="majorHAnsi" w:hAnsiTheme="majorHAnsi" w:cstheme="majorHAnsi"/>
          <w:sz w:val="22"/>
          <w:lang w:val="de-DE"/>
        </w:rPr>
        <w:t xml:space="preserve">; die </w:t>
      </w:r>
      <w:r w:rsidR="005C759D">
        <w:rPr>
          <w:rFonts w:asciiTheme="majorHAnsi" w:hAnsiTheme="majorHAnsi" w:cstheme="majorHAnsi"/>
          <w:sz w:val="22"/>
          <w:lang w:val="de-DE"/>
        </w:rPr>
        <w:t>demnach</w:t>
      </w:r>
      <w:r>
        <w:rPr>
          <w:rFonts w:asciiTheme="majorHAnsi" w:hAnsiTheme="majorHAnsi" w:cstheme="majorHAnsi"/>
          <w:sz w:val="22"/>
          <w:lang w:val="de-DE"/>
        </w:rPr>
        <w:t xml:space="preserve"> im Einzelfall festzulegenden Angaben, insbesondere Lieferzeitfenster, Zutrittszeiten und Ansprechpartner, teilt die Bundesbank in Textform mit.</w:t>
      </w:r>
      <w:r w:rsidRPr="00347B87">
        <w:rPr>
          <w:rFonts w:asciiTheme="majorHAnsi" w:hAnsiTheme="majorHAnsi" w:cstheme="majorHAnsi"/>
          <w:sz w:val="22"/>
          <w:lang w:val="de-DE"/>
        </w:rPr>
        <w:t xml:space="preserve"> </w:t>
      </w:r>
      <w:r w:rsidRPr="00B55B97">
        <w:rPr>
          <w:rFonts w:asciiTheme="majorHAnsi" w:hAnsiTheme="majorHAnsi" w:cstheme="majorHAnsi"/>
          <w:sz w:val="22"/>
          <w:lang w:val="de-DE"/>
        </w:rPr>
        <w:t>Bei Widersprüchen geht diese Teilnahmevereinbarung vor;</w:t>
      </w:r>
      <w:r w:rsidRPr="00347B87">
        <w:rPr>
          <w:rFonts w:asciiTheme="majorHAnsi" w:hAnsiTheme="majorHAnsi" w:cstheme="majorHAnsi"/>
          <w:sz w:val="22"/>
          <w:lang w:val="de-DE"/>
        </w:rPr>
        <w:t xml:space="preserve"> </w:t>
      </w:r>
      <w:r w:rsidRPr="00663215">
        <w:rPr>
          <w:rFonts w:asciiTheme="majorHAnsi" w:hAnsiTheme="majorHAnsi" w:cstheme="majorHAnsi"/>
          <w:sz w:val="22"/>
          <w:lang w:val="de-DE"/>
        </w:rPr>
        <w:t>Anhang D geht allgemeinen Standortregelungen vor, soweit er für den Pilothändler eine speziellere Regelung enthält.</w:t>
      </w:r>
    </w:p>
    <w:p w14:paraId="68B23DD0"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4 Allgemeine Pflichten des Pilothändlers</w:t>
      </w:r>
    </w:p>
    <w:p w14:paraId="18FA402A" w14:textId="77777777"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1.</w:t>
      </w:r>
      <w:r w:rsidRPr="009A0817">
        <w:rPr>
          <w:rFonts w:asciiTheme="majorHAnsi" w:hAnsiTheme="majorHAnsi" w:cstheme="majorHAnsi"/>
          <w:sz w:val="22"/>
          <w:lang w:val="de-DE"/>
        </w:rPr>
        <w:tab/>
        <w:t>Der Pilothändler verpflichtet sich während seiner Teilnahme am Pilotbetrieb insbesondere,</w:t>
      </w:r>
    </w:p>
    <w:p w14:paraId="537C3870" w14:textId="7775D243" w:rsidR="00EE5EF4" w:rsidRPr="009A0817" w:rsidRDefault="00425651" w:rsidP="004C42CB">
      <w:pPr>
        <w:pStyle w:val="Subclause"/>
        <w:numPr>
          <w:ilvl w:val="1"/>
          <w:numId w:val="39"/>
        </w:numPr>
        <w:rPr>
          <w:rFonts w:asciiTheme="majorHAnsi" w:hAnsiTheme="majorHAnsi" w:cstheme="majorHAnsi"/>
          <w:sz w:val="22"/>
          <w:lang w:val="de-DE"/>
        </w:rPr>
      </w:pPr>
      <w:r>
        <w:rPr>
          <w:rFonts w:asciiTheme="majorHAnsi" w:hAnsiTheme="majorHAnsi" w:cstheme="majorHAnsi"/>
          <w:sz w:val="22"/>
          <w:lang w:val="de-DE"/>
        </w:rPr>
        <w:t xml:space="preserve">an </w:t>
      </w:r>
      <w:r w:rsidR="00EE5EF4" w:rsidRPr="009A0817">
        <w:rPr>
          <w:rFonts w:asciiTheme="majorHAnsi" w:hAnsiTheme="majorHAnsi" w:cstheme="majorHAnsi"/>
          <w:sz w:val="22"/>
          <w:lang w:val="de-DE"/>
        </w:rPr>
        <w:t>de</w:t>
      </w:r>
      <w:r>
        <w:rPr>
          <w:rFonts w:asciiTheme="majorHAnsi" w:hAnsiTheme="majorHAnsi" w:cstheme="majorHAnsi"/>
          <w:sz w:val="22"/>
          <w:lang w:val="de-DE"/>
        </w:rPr>
        <w:t>m</w:t>
      </w:r>
      <w:r w:rsidR="00EE5EF4" w:rsidRPr="009A0817">
        <w:rPr>
          <w:rFonts w:asciiTheme="majorHAnsi" w:hAnsiTheme="majorHAnsi" w:cstheme="majorHAnsi"/>
          <w:sz w:val="22"/>
          <w:lang w:val="de-DE"/>
        </w:rPr>
        <w:t xml:space="preserve"> stationären P2B-Anwendungsfall nach § 2 am Pilotstandort entsprechend dem vereinbarten Umfang </w:t>
      </w:r>
      <w:r>
        <w:rPr>
          <w:rFonts w:asciiTheme="majorHAnsi" w:hAnsiTheme="majorHAnsi" w:cstheme="majorHAnsi"/>
          <w:sz w:val="22"/>
          <w:lang w:val="de-DE"/>
        </w:rPr>
        <w:t>teilzunehmen</w:t>
      </w:r>
      <w:r w:rsidR="00EE5EF4" w:rsidRPr="009A0817">
        <w:rPr>
          <w:rFonts w:asciiTheme="majorHAnsi" w:hAnsiTheme="majorHAnsi" w:cstheme="majorHAnsi"/>
          <w:sz w:val="22"/>
          <w:lang w:val="de-DE"/>
        </w:rPr>
        <w:t>;</w:t>
      </w:r>
    </w:p>
    <w:p w14:paraId="5F8E0ED5" w14:textId="56DB4ABB" w:rsidR="00EE5EF4" w:rsidRPr="009A0817" w:rsidRDefault="00EE5EF4" w:rsidP="004C42CB">
      <w:pPr>
        <w:pStyle w:val="Subclause"/>
        <w:numPr>
          <w:ilvl w:val="1"/>
          <w:numId w:val="39"/>
        </w:numPr>
        <w:rPr>
          <w:rFonts w:asciiTheme="majorHAnsi" w:hAnsiTheme="majorHAnsi" w:cstheme="majorHAnsi"/>
          <w:sz w:val="22"/>
          <w:lang w:val="de-DE"/>
        </w:rPr>
      </w:pPr>
      <w:r>
        <w:rPr>
          <w:rFonts w:asciiTheme="majorHAnsi" w:hAnsiTheme="majorHAnsi" w:cstheme="majorHAnsi"/>
          <w:sz w:val="22"/>
          <w:lang w:val="de-DE"/>
        </w:rPr>
        <w:t xml:space="preserve">mit dem </w:t>
      </w:r>
      <w:r w:rsidRPr="00B55B97">
        <w:rPr>
          <w:rFonts w:asciiTheme="majorHAnsi" w:hAnsiTheme="majorHAnsi" w:cstheme="majorHAnsi"/>
          <w:sz w:val="22"/>
          <w:lang w:val="de-DE"/>
        </w:rPr>
        <w:t>zugeordneten</w:t>
      </w:r>
      <w:r w:rsidRPr="008066D9">
        <w:rPr>
          <w:rFonts w:asciiTheme="majorHAnsi" w:hAnsiTheme="majorHAnsi" w:cstheme="majorHAnsi"/>
          <w:sz w:val="22"/>
          <w:lang w:val="de-DE"/>
        </w:rPr>
        <w:t xml:space="preserve"> </w:t>
      </w:r>
      <w:r w:rsidR="00425651">
        <w:rPr>
          <w:rFonts w:asciiTheme="majorHAnsi" w:hAnsiTheme="majorHAnsi" w:cstheme="majorHAnsi"/>
          <w:sz w:val="22"/>
          <w:lang w:val="de-DE"/>
        </w:rPr>
        <w:t xml:space="preserve">am Pilotbetrieb teilnehmenden </w:t>
      </w:r>
      <w:r w:rsidRPr="008066D9">
        <w:rPr>
          <w:rFonts w:asciiTheme="majorHAnsi" w:hAnsiTheme="majorHAnsi" w:cstheme="majorHAnsi"/>
          <w:sz w:val="22"/>
          <w:lang w:val="de-DE"/>
        </w:rPr>
        <w:t>Pilot</w:t>
      </w:r>
      <w:r>
        <w:rPr>
          <w:rFonts w:asciiTheme="majorHAnsi" w:hAnsiTheme="majorHAnsi" w:cstheme="majorHAnsi"/>
          <w:sz w:val="22"/>
          <w:lang w:val="de-DE"/>
        </w:rPr>
        <w:t>-Acquirer eine für den Pilot</w:t>
      </w:r>
      <w:r w:rsidR="00425651">
        <w:rPr>
          <w:rFonts w:asciiTheme="majorHAnsi" w:hAnsiTheme="majorHAnsi" w:cstheme="majorHAnsi"/>
          <w:sz w:val="22"/>
          <w:lang w:val="de-DE"/>
        </w:rPr>
        <w:t>betrieb</w:t>
      </w:r>
      <w:r>
        <w:rPr>
          <w:rFonts w:asciiTheme="majorHAnsi" w:hAnsiTheme="majorHAnsi" w:cstheme="majorHAnsi"/>
          <w:sz w:val="22"/>
          <w:lang w:val="de-DE"/>
        </w:rPr>
        <w:t xml:space="preserve"> geeignete Vertragsbeziehung einzugehen und</w:t>
      </w:r>
      <w:r w:rsidR="00425651">
        <w:rPr>
          <w:rFonts w:asciiTheme="majorHAnsi" w:hAnsiTheme="majorHAnsi" w:cstheme="majorHAnsi"/>
          <w:sz w:val="22"/>
          <w:lang w:val="de-DE"/>
        </w:rPr>
        <w:t xml:space="preserve"> während der Laufzeit des Pilotbetriebs</w:t>
      </w:r>
      <w:r>
        <w:rPr>
          <w:rFonts w:asciiTheme="majorHAnsi" w:hAnsiTheme="majorHAnsi" w:cstheme="majorHAnsi"/>
          <w:sz w:val="22"/>
          <w:lang w:val="de-DE"/>
        </w:rPr>
        <w:t xml:space="preserve"> aufrechtzuerhalten</w:t>
      </w:r>
      <w:r w:rsidR="00425651">
        <w:rPr>
          <w:rFonts w:asciiTheme="majorHAnsi" w:hAnsiTheme="majorHAnsi" w:cstheme="majorHAnsi"/>
          <w:sz w:val="22"/>
          <w:lang w:val="de-DE"/>
        </w:rPr>
        <w:t xml:space="preserve">, die es dem Pilothändler ermöglicht, </w:t>
      </w:r>
      <w:proofErr w:type="spellStart"/>
      <w:r w:rsidR="00425651">
        <w:rPr>
          <w:rFonts w:asciiTheme="majorHAnsi" w:hAnsiTheme="majorHAnsi" w:cstheme="majorHAnsi"/>
          <w:sz w:val="22"/>
          <w:lang w:val="de-DE"/>
        </w:rPr>
        <w:t>Acquiring</w:t>
      </w:r>
      <w:proofErr w:type="spellEnd"/>
      <w:r w:rsidR="00425651">
        <w:rPr>
          <w:rFonts w:asciiTheme="majorHAnsi" w:hAnsiTheme="majorHAnsi" w:cstheme="majorHAnsi"/>
          <w:sz w:val="22"/>
          <w:lang w:val="de-DE"/>
        </w:rPr>
        <w:t>-Zahlungsdienste für den Pilotbetrieb in Anspruch zu nehmen</w:t>
      </w:r>
      <w:r>
        <w:rPr>
          <w:rFonts w:asciiTheme="majorHAnsi" w:hAnsiTheme="majorHAnsi" w:cstheme="majorHAnsi"/>
          <w:sz w:val="22"/>
          <w:lang w:val="de-DE"/>
        </w:rPr>
        <w:t xml:space="preserve"> bzw. einen bestehenden Vertrag entsprechend anzupassen sowie, sofern der Pilot-Acquirer über keinen Zugang zu einem TARGET-Komponentensystem verfügt, zusätzlich eine entsprechende Vertragsbeziehung mit einem an TARGET angebundenen Zahlungsdienstleister einzugehen;</w:t>
      </w:r>
    </w:p>
    <w:p w14:paraId="67DBDBAA" w14:textId="4A7A2652"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die erforderliche technische und betriebliche Voraussetzung</w:t>
      </w:r>
      <w:r w:rsidR="00425651">
        <w:rPr>
          <w:rFonts w:asciiTheme="majorHAnsi" w:hAnsiTheme="majorHAnsi" w:cstheme="majorHAnsi"/>
          <w:sz w:val="22"/>
          <w:lang w:val="de-DE"/>
        </w:rPr>
        <w:t xml:space="preserve"> und Infrastruktur zur Annahme von Beta-Digital-Euro als Zahlungsmittel durch Individuelle Endnutzer </w:t>
      </w:r>
      <w:r w:rsidRPr="009A0817">
        <w:rPr>
          <w:rFonts w:asciiTheme="majorHAnsi" w:hAnsiTheme="majorHAnsi" w:cstheme="majorHAnsi"/>
          <w:sz w:val="22"/>
          <w:lang w:val="de-DE"/>
        </w:rPr>
        <w:t>einzurichten und aufrechtzuerhalten;</w:t>
      </w:r>
    </w:p>
    <w:p w14:paraId="7887043D" w14:textId="730E6726"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an Einrichtung, Onboarding, Integration, Tests, technischer Validierung, Abnahme</w:t>
      </w:r>
      <w:r w:rsidR="00005CD3">
        <w:rPr>
          <w:rFonts w:asciiTheme="majorHAnsi" w:hAnsiTheme="majorHAnsi" w:cstheme="majorHAnsi"/>
          <w:sz w:val="22"/>
          <w:lang w:val="de-DE"/>
        </w:rPr>
        <w:t xml:space="preserve">, </w:t>
      </w:r>
      <w:r w:rsidRPr="009A0817">
        <w:rPr>
          <w:rFonts w:asciiTheme="majorHAnsi" w:hAnsiTheme="majorHAnsi" w:cstheme="majorHAnsi"/>
          <w:sz w:val="22"/>
          <w:lang w:val="de-DE"/>
        </w:rPr>
        <w:t xml:space="preserve">Schulungen </w:t>
      </w:r>
      <w:r w:rsidR="00005CD3">
        <w:rPr>
          <w:rFonts w:asciiTheme="majorHAnsi" w:hAnsiTheme="majorHAnsi" w:cstheme="majorHAnsi"/>
          <w:sz w:val="22"/>
          <w:lang w:val="de-DE"/>
        </w:rPr>
        <w:t xml:space="preserve">und Maßnahmen zur Herstellung der Betriebsbereitschaft </w:t>
      </w:r>
      <w:r w:rsidRPr="009A0817">
        <w:rPr>
          <w:rFonts w:asciiTheme="majorHAnsi" w:hAnsiTheme="majorHAnsi" w:cstheme="majorHAnsi"/>
          <w:sz w:val="22"/>
          <w:lang w:val="de-DE"/>
        </w:rPr>
        <w:t>mitzuwirken</w:t>
      </w:r>
      <w:r>
        <w:rPr>
          <w:rFonts w:asciiTheme="majorHAnsi" w:hAnsiTheme="majorHAnsi" w:cstheme="majorHAnsi"/>
          <w:sz w:val="22"/>
          <w:lang w:val="de-DE"/>
        </w:rPr>
        <w:t>, wie von der Bundesbank und/oder dem Pilot-Acquirer gefordert</w:t>
      </w:r>
      <w:r w:rsidRPr="009A0817">
        <w:rPr>
          <w:rFonts w:asciiTheme="majorHAnsi" w:hAnsiTheme="majorHAnsi" w:cstheme="majorHAnsi"/>
          <w:sz w:val="22"/>
          <w:lang w:val="de-DE"/>
        </w:rPr>
        <w:t>;</w:t>
      </w:r>
    </w:p>
    <w:p w14:paraId="6EBA7F2F" w14:textId="35239DC5"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 xml:space="preserve">mit der Bundesbank und dem Pilot-Acquirer bei allen für den Pilotbetrieb relevanten Angelegenheiten zusammenzuarbeiten und insbesondere bei </w:t>
      </w:r>
      <w:r w:rsidR="00005CD3">
        <w:rPr>
          <w:rFonts w:asciiTheme="majorHAnsi" w:hAnsiTheme="majorHAnsi" w:cstheme="majorHAnsi"/>
          <w:sz w:val="22"/>
          <w:lang w:val="de-DE"/>
        </w:rPr>
        <w:t xml:space="preserve">betrieblichen Problemen oder </w:t>
      </w:r>
      <w:r w:rsidRPr="009A0817">
        <w:rPr>
          <w:rFonts w:asciiTheme="majorHAnsi" w:hAnsiTheme="majorHAnsi" w:cstheme="majorHAnsi"/>
          <w:sz w:val="22"/>
          <w:lang w:val="de-DE"/>
        </w:rPr>
        <w:t>Störungen</w:t>
      </w:r>
      <w:r w:rsidR="00005CD3">
        <w:rPr>
          <w:rFonts w:asciiTheme="majorHAnsi" w:hAnsiTheme="majorHAnsi" w:cstheme="majorHAnsi"/>
          <w:sz w:val="22"/>
          <w:lang w:val="de-DE"/>
        </w:rPr>
        <w:t xml:space="preserve"> </w:t>
      </w:r>
      <w:r w:rsidRPr="009A0817">
        <w:rPr>
          <w:rFonts w:asciiTheme="majorHAnsi" w:hAnsiTheme="majorHAnsi" w:cstheme="majorHAnsi"/>
          <w:sz w:val="22"/>
          <w:lang w:val="de-DE"/>
        </w:rPr>
        <w:t>unverzüglich an einer sachgerechten Lösung mitzuwirken;</w:t>
      </w:r>
    </w:p>
    <w:p w14:paraId="03AE24FD" w14:textId="24A17855"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sicherzustellen, dass Pilottransaktionen am dafür vorgesehenen Point of Sale ausschließlich über die Beta-Digital-Euro-Akzeptanzlösung abgewickelt werden; alternative Zahlungsmittel oder Fallback-Zahlarten sind für diese Pilottransaktionen nicht vorzusehen;</w:t>
      </w:r>
    </w:p>
    <w:p w14:paraId="4ACDBB93" w14:textId="50ECF767"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 xml:space="preserve">den vereinbarten stationären Verkaufsbetrieb während </w:t>
      </w:r>
      <w:r w:rsidRPr="008066D9">
        <w:rPr>
          <w:rFonts w:asciiTheme="majorHAnsi" w:hAnsiTheme="majorHAnsi" w:cstheme="majorHAnsi"/>
          <w:sz w:val="22"/>
          <w:lang w:val="de-DE"/>
        </w:rPr>
        <w:t xml:space="preserve">der </w:t>
      </w:r>
      <w:r w:rsidRPr="00B55B97">
        <w:rPr>
          <w:rFonts w:asciiTheme="majorHAnsi" w:hAnsiTheme="majorHAnsi" w:cstheme="majorHAnsi"/>
          <w:sz w:val="22"/>
          <w:lang w:val="de-DE"/>
        </w:rPr>
        <w:t>vereinbarten</w:t>
      </w:r>
      <w:r w:rsidRPr="008066D9">
        <w:rPr>
          <w:rFonts w:asciiTheme="majorHAnsi" w:hAnsiTheme="majorHAnsi" w:cstheme="majorHAnsi"/>
          <w:sz w:val="22"/>
          <w:lang w:val="de-DE"/>
        </w:rPr>
        <w:t xml:space="preserve"> Öffnungszeiten</w:t>
      </w:r>
      <w:r w:rsidRPr="009A0817">
        <w:rPr>
          <w:rFonts w:asciiTheme="majorHAnsi" w:hAnsiTheme="majorHAnsi" w:cstheme="majorHAnsi"/>
          <w:sz w:val="22"/>
          <w:lang w:val="de-DE"/>
        </w:rPr>
        <w:t xml:space="preserve"> organisatorisch (und sofern erforderlich personell) zuverlässig sicherzustellen, Warenanlieferungen und Abholungen mit der von der Bundesbank benannten Stelle der Liegenschaft abzustimmen sowie die abgestimmten Prozesse einzuhalten; </w:t>
      </w:r>
      <w:r w:rsidRPr="00AD1DF9">
        <w:rPr>
          <w:rFonts w:asciiTheme="majorHAnsi" w:hAnsiTheme="majorHAnsi" w:cstheme="majorHAnsi"/>
          <w:sz w:val="22"/>
          <w:lang w:val="de-DE"/>
        </w:rPr>
        <w:t xml:space="preserve">ist der Verkauf </w:t>
      </w:r>
      <w:r w:rsidRPr="00AD1DF9">
        <w:rPr>
          <w:rFonts w:asciiTheme="majorHAnsi" w:hAnsiTheme="majorHAnsi" w:cstheme="majorHAnsi"/>
          <w:sz w:val="22"/>
          <w:lang w:val="de-DE"/>
        </w:rPr>
        <w:lastRenderedPageBreak/>
        <w:t>wegen eines vom Pilothändler nicht zu vertretenden Ausfalls der Pilotinfrastruktur, oder wegen einer Maßnahme der Bundesbank nicht möglich, liegt hierin keine Pflichtverletzung des Pilothändlers; der Pilothändler darf den Verkauf für die Dauer der Störung einstellen und informiert die Bundesbank unverzüglich</w:t>
      </w:r>
      <w:r w:rsidR="00005CD3">
        <w:rPr>
          <w:rFonts w:asciiTheme="majorHAnsi" w:hAnsiTheme="majorHAnsi" w:cstheme="majorHAnsi"/>
          <w:sz w:val="22"/>
          <w:lang w:val="de-DE"/>
        </w:rPr>
        <w:t>;</w:t>
      </w:r>
    </w:p>
    <w:p w14:paraId="51A1E30C" w14:textId="54483EDD" w:rsidR="00EE5EF4" w:rsidRPr="005A12BA" w:rsidRDefault="00005CD3" w:rsidP="004C42CB">
      <w:pPr>
        <w:pStyle w:val="Subclause"/>
        <w:numPr>
          <w:ilvl w:val="1"/>
          <w:numId w:val="39"/>
        </w:numPr>
        <w:rPr>
          <w:rFonts w:asciiTheme="majorHAnsi" w:hAnsiTheme="majorHAnsi" w:cstheme="majorHAnsi"/>
          <w:sz w:val="22"/>
          <w:lang w:val="de-DE"/>
        </w:rPr>
      </w:pPr>
      <w:r>
        <w:rPr>
          <w:rFonts w:asciiTheme="majorHAnsi" w:hAnsiTheme="majorHAnsi" w:cstheme="majorHAnsi"/>
          <w:sz w:val="22"/>
          <w:lang w:val="de-DE"/>
        </w:rPr>
        <w:t>I</w:t>
      </w:r>
      <w:r w:rsidRPr="00005CD3">
        <w:rPr>
          <w:rFonts w:asciiTheme="majorHAnsi" w:hAnsiTheme="majorHAnsi" w:cstheme="majorHAnsi"/>
          <w:sz w:val="22"/>
          <w:lang w:val="de-DE"/>
        </w:rPr>
        <w:t xml:space="preserve">ndividuellen Endnutzern Kundensupport im Zusammenhang mit dem Erwerb von Waren zu leisten, einschließlich Stornierungen, </w:t>
      </w:r>
      <w:r>
        <w:rPr>
          <w:rFonts w:asciiTheme="majorHAnsi" w:hAnsiTheme="majorHAnsi" w:cstheme="majorHAnsi"/>
          <w:sz w:val="22"/>
          <w:lang w:val="de-DE"/>
        </w:rPr>
        <w:t xml:space="preserve">Umtausch </w:t>
      </w:r>
      <w:r w:rsidRPr="00005CD3">
        <w:rPr>
          <w:rFonts w:asciiTheme="majorHAnsi" w:hAnsiTheme="majorHAnsi" w:cstheme="majorHAnsi"/>
          <w:sz w:val="22"/>
          <w:lang w:val="de-DE"/>
        </w:rPr>
        <w:t>und Rückerstattungen, und zwar gemäß seinen üblichen Kundensupportverfahren</w:t>
      </w:r>
      <w:r>
        <w:rPr>
          <w:rFonts w:asciiTheme="majorHAnsi" w:hAnsiTheme="majorHAnsi" w:cstheme="majorHAnsi"/>
          <w:sz w:val="22"/>
          <w:lang w:val="de-DE"/>
        </w:rPr>
        <w:t xml:space="preserve"> und</w:t>
      </w:r>
      <w:r w:rsidR="00EE5EF4" w:rsidRPr="005A12BA">
        <w:rPr>
          <w:rFonts w:asciiTheme="majorHAnsi" w:hAnsiTheme="majorHAnsi" w:cstheme="majorHAnsi"/>
          <w:sz w:val="22"/>
          <w:lang w:val="de-DE"/>
        </w:rPr>
        <w:t xml:space="preserve"> soweit technisch möglich über die Beta-Infrastruktur vorzunehmen; bei Streitigkeiten mit </w:t>
      </w:r>
      <w:r w:rsidR="00EE5EF4">
        <w:rPr>
          <w:rFonts w:asciiTheme="majorHAnsi" w:hAnsiTheme="majorHAnsi" w:cstheme="majorHAnsi"/>
          <w:sz w:val="22"/>
          <w:lang w:val="de-DE"/>
        </w:rPr>
        <w:t>I</w:t>
      </w:r>
      <w:r w:rsidR="00EE5EF4" w:rsidRPr="005A12BA">
        <w:rPr>
          <w:rFonts w:asciiTheme="majorHAnsi" w:hAnsiTheme="majorHAnsi" w:cstheme="majorHAnsi"/>
          <w:sz w:val="22"/>
          <w:lang w:val="de-DE"/>
        </w:rPr>
        <w:t>ndividuellen Endnutzern im Zusammenhang mit Käufen im Pilot</w:t>
      </w:r>
      <w:r>
        <w:rPr>
          <w:rFonts w:asciiTheme="majorHAnsi" w:hAnsiTheme="majorHAnsi" w:cstheme="majorHAnsi"/>
          <w:sz w:val="22"/>
          <w:lang w:val="de-DE"/>
        </w:rPr>
        <w:t>betrieb</w:t>
      </w:r>
      <w:r w:rsidR="00EE5EF4" w:rsidRPr="005A12BA">
        <w:rPr>
          <w:rFonts w:asciiTheme="majorHAnsi" w:hAnsiTheme="majorHAnsi" w:cstheme="majorHAnsi"/>
          <w:sz w:val="22"/>
          <w:lang w:val="de-DE"/>
        </w:rPr>
        <w:t xml:space="preserve"> bemüht sich der Pilothändler um eine gütliche Beilegung;</w:t>
      </w:r>
    </w:p>
    <w:p w14:paraId="4A902BBC" w14:textId="4766276D" w:rsidR="00EE5EF4" w:rsidRPr="009A0817" w:rsidRDefault="00EE5EF4" w:rsidP="004C42CB">
      <w:pPr>
        <w:pStyle w:val="Subclause"/>
        <w:numPr>
          <w:ilvl w:val="1"/>
          <w:numId w:val="39"/>
        </w:numPr>
        <w:rPr>
          <w:rFonts w:asciiTheme="majorHAnsi" w:hAnsiTheme="majorHAnsi" w:cstheme="majorHAnsi"/>
          <w:sz w:val="22"/>
          <w:lang w:val="de-DE"/>
        </w:rPr>
      </w:pPr>
      <w:r w:rsidRPr="005A12BA">
        <w:rPr>
          <w:rFonts w:asciiTheme="majorHAnsi" w:hAnsiTheme="majorHAnsi" w:cstheme="majorHAnsi"/>
          <w:sz w:val="22"/>
          <w:lang w:val="de-DE"/>
        </w:rPr>
        <w:t xml:space="preserve">das Sortiment und die betrieblichen Rahmenbedingungen, die für die Teilnahme </w:t>
      </w:r>
      <w:r w:rsidR="00005CD3">
        <w:rPr>
          <w:rFonts w:asciiTheme="majorHAnsi" w:hAnsiTheme="majorHAnsi" w:cstheme="majorHAnsi"/>
          <w:sz w:val="22"/>
          <w:lang w:val="de-DE"/>
        </w:rPr>
        <w:t xml:space="preserve">am Pilotbetrieb </w:t>
      </w:r>
      <w:r w:rsidRPr="005A12BA">
        <w:rPr>
          <w:rFonts w:asciiTheme="majorHAnsi" w:hAnsiTheme="majorHAnsi" w:cstheme="majorHAnsi"/>
          <w:sz w:val="22"/>
          <w:lang w:val="de-DE"/>
        </w:rPr>
        <w:t>abgestimmt wurden</w:t>
      </w:r>
      <w:r>
        <w:rPr>
          <w:rFonts w:asciiTheme="majorHAnsi" w:hAnsiTheme="majorHAnsi" w:cstheme="majorHAnsi"/>
          <w:sz w:val="22"/>
          <w:lang w:val="de-DE"/>
        </w:rPr>
        <w:t xml:space="preserve">, im Wesentlichen </w:t>
      </w:r>
      <w:r w:rsidR="00005CD3">
        <w:rPr>
          <w:rFonts w:asciiTheme="majorHAnsi" w:hAnsiTheme="majorHAnsi" w:cstheme="majorHAnsi"/>
          <w:sz w:val="22"/>
          <w:lang w:val="de-DE"/>
        </w:rPr>
        <w:t>aufrechtzuerhalten</w:t>
      </w:r>
      <w:r>
        <w:rPr>
          <w:rFonts w:asciiTheme="majorHAnsi" w:hAnsiTheme="majorHAnsi" w:cstheme="majorHAnsi"/>
          <w:sz w:val="22"/>
          <w:lang w:val="de-DE"/>
        </w:rPr>
        <w:t xml:space="preserve">. Die Aufnahme zusätzlicher Waren sowie sonstige wesentliche Änderungen, die Eignung, Standortverträglichkeit oder Pilotbetrieb beeinflussen können, sind der Bundesbank mindestens </w:t>
      </w:r>
      <w:r w:rsidR="00AE0BC3">
        <w:rPr>
          <w:rFonts w:asciiTheme="majorHAnsi" w:hAnsiTheme="majorHAnsi" w:cstheme="majorHAnsi"/>
          <w:sz w:val="22"/>
          <w:lang w:val="de-DE"/>
        </w:rPr>
        <w:t>einundzwanzig (</w:t>
      </w:r>
      <w:r>
        <w:rPr>
          <w:rFonts w:asciiTheme="majorHAnsi" w:hAnsiTheme="majorHAnsi" w:cstheme="majorHAnsi"/>
          <w:sz w:val="22"/>
          <w:lang w:val="de-DE"/>
        </w:rPr>
        <w:t>21</w:t>
      </w:r>
      <w:r w:rsidR="00AE0BC3">
        <w:rPr>
          <w:rFonts w:asciiTheme="majorHAnsi" w:hAnsiTheme="majorHAnsi" w:cstheme="majorHAnsi"/>
          <w:sz w:val="22"/>
          <w:lang w:val="de-DE"/>
        </w:rPr>
        <w:t>)</w:t>
      </w:r>
      <w:r>
        <w:rPr>
          <w:rFonts w:asciiTheme="majorHAnsi" w:hAnsiTheme="majorHAnsi" w:cstheme="majorHAnsi"/>
          <w:sz w:val="22"/>
          <w:lang w:val="de-DE"/>
        </w:rPr>
        <w:t xml:space="preserve"> Kalendertage vorher mitzuteilen und bedürfen vor Umsetzung ihrer Zustimmung in Textform;</w:t>
      </w:r>
    </w:p>
    <w:p w14:paraId="17EAA61D" w14:textId="768B1F1E"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die einschlägigen gesetzlichen und regulatorischen Anforderungen sowie die Sicherheits-, Zutritts-, Haus- und sonstigen Standortvorgaben der Bundesbank einzuhalten; dies umfasst insbesondere die erfolgreiche Durchführung einer von der Bundesbank geforderten Zuverlässigkeitsüberprüfung als Voraussetzung für den Zutritt sowie die ordnungsgemäße Nutzung und Rückgabe personengebundener Zugangskarten</w:t>
      </w:r>
      <w:r w:rsidR="005B4A58">
        <w:rPr>
          <w:rFonts w:asciiTheme="majorHAnsi" w:hAnsiTheme="majorHAnsi" w:cstheme="majorHAnsi"/>
          <w:sz w:val="22"/>
          <w:lang w:val="de-DE"/>
        </w:rPr>
        <w:t xml:space="preserve"> (siehe auch Anhang D)</w:t>
      </w:r>
      <w:r w:rsidRPr="009A0817">
        <w:rPr>
          <w:rFonts w:asciiTheme="majorHAnsi" w:hAnsiTheme="majorHAnsi" w:cstheme="majorHAnsi"/>
          <w:sz w:val="22"/>
          <w:lang w:val="de-DE"/>
        </w:rPr>
        <w:t>;</w:t>
      </w:r>
    </w:p>
    <w:p w14:paraId="1FF35FB5" w14:textId="71632053"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fachliche und technische Ansprechpersonen zu benennen;</w:t>
      </w:r>
    </w:p>
    <w:p w14:paraId="56AB6CEF" w14:textId="606BD5FF"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 xml:space="preserve">die nach Anhang B erforderlichen Daten und strukturierten Rückmeldungen vor, während und nach der </w:t>
      </w:r>
      <w:r>
        <w:rPr>
          <w:rFonts w:asciiTheme="majorHAnsi" w:hAnsiTheme="majorHAnsi" w:cstheme="majorHAnsi"/>
          <w:sz w:val="22"/>
          <w:lang w:val="de-DE"/>
        </w:rPr>
        <w:t>O</w:t>
      </w:r>
      <w:r w:rsidRPr="009A0817">
        <w:rPr>
          <w:rFonts w:asciiTheme="majorHAnsi" w:hAnsiTheme="majorHAnsi" w:cstheme="majorHAnsi"/>
          <w:sz w:val="22"/>
          <w:lang w:val="de-DE"/>
        </w:rPr>
        <w:t>perativen Pilotphase fristgerecht bereitzustellen.</w:t>
      </w:r>
    </w:p>
    <w:p w14:paraId="097EDFEC" w14:textId="743E494C"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 xml:space="preserve">Der Pilothändler erfüllt alle vor Beginn der </w:t>
      </w:r>
      <w:r>
        <w:rPr>
          <w:rFonts w:asciiTheme="majorHAnsi" w:hAnsiTheme="majorHAnsi" w:cstheme="majorHAnsi"/>
          <w:sz w:val="22"/>
          <w:lang w:val="de-DE"/>
        </w:rPr>
        <w:t>O</w:t>
      </w:r>
      <w:r w:rsidRPr="009A0817">
        <w:rPr>
          <w:rFonts w:asciiTheme="majorHAnsi" w:hAnsiTheme="majorHAnsi" w:cstheme="majorHAnsi"/>
          <w:sz w:val="22"/>
          <w:lang w:val="de-DE"/>
        </w:rPr>
        <w:t xml:space="preserve">perativen Pilotphase erforderlichen Aktivitäten rechtzeitig und führt die während der </w:t>
      </w:r>
      <w:r>
        <w:rPr>
          <w:rFonts w:asciiTheme="majorHAnsi" w:hAnsiTheme="majorHAnsi" w:cstheme="majorHAnsi"/>
          <w:sz w:val="22"/>
          <w:lang w:val="de-DE"/>
        </w:rPr>
        <w:t>O</w:t>
      </w:r>
      <w:r w:rsidRPr="009A0817">
        <w:rPr>
          <w:rFonts w:asciiTheme="majorHAnsi" w:hAnsiTheme="majorHAnsi" w:cstheme="majorHAnsi"/>
          <w:sz w:val="22"/>
          <w:lang w:val="de-DE"/>
        </w:rPr>
        <w:t>perativen Pilotphase bestehenden Pflichten entsprechend dem Zeitplan in Anhang A fort.</w:t>
      </w:r>
    </w:p>
    <w:p w14:paraId="63612511" w14:textId="2D0BFBF7" w:rsidR="00EE5EF4" w:rsidRPr="009A0817" w:rsidRDefault="00EE5EF4" w:rsidP="004C42CB">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 xml:space="preserve">Für zahlungsbezogene operative Themen ist der Pilot-Acquirer erster technischer Ansprechpartner des Pilothändlers. </w:t>
      </w:r>
      <w:r>
        <w:rPr>
          <w:rFonts w:asciiTheme="majorHAnsi" w:hAnsiTheme="majorHAnsi" w:cstheme="majorHAnsi"/>
          <w:sz w:val="22"/>
          <w:lang w:val="de-DE"/>
        </w:rPr>
        <w:t>Die Zuständigkeit der Ansprechstellen der Bundesbank für Vertragsfragen (§ 13 Absatz 2) und für Standortfragen (Anhang D Nummer 7) bleibt hiervon unberührt.</w:t>
      </w:r>
    </w:p>
    <w:p w14:paraId="20D7F031"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5 Pflichten der Bundesbank</w:t>
      </w:r>
    </w:p>
    <w:p w14:paraId="17265AAD" w14:textId="129324EE" w:rsidR="00EE5EF4" w:rsidRPr="009A0817" w:rsidRDefault="00EE5EF4">
      <w:pPr>
        <w:pStyle w:val="Clause"/>
        <w:numPr>
          <w:ilvl w:val="0"/>
          <w:numId w:val="40"/>
        </w:numPr>
        <w:rPr>
          <w:rFonts w:asciiTheme="majorHAnsi" w:hAnsiTheme="majorHAnsi" w:cstheme="majorHAnsi"/>
          <w:sz w:val="22"/>
          <w:lang w:val="de-DE"/>
        </w:rPr>
      </w:pPr>
      <w:r w:rsidRPr="009A0817">
        <w:rPr>
          <w:rFonts w:asciiTheme="majorHAnsi" w:hAnsiTheme="majorHAnsi" w:cstheme="majorHAnsi"/>
          <w:sz w:val="22"/>
          <w:lang w:val="de-DE"/>
        </w:rPr>
        <w:t xml:space="preserve">Die Bundesbank unterstützt den Pilothändler </w:t>
      </w:r>
      <w:r w:rsidR="000B0A32">
        <w:rPr>
          <w:rFonts w:asciiTheme="majorHAnsi" w:hAnsiTheme="majorHAnsi" w:cstheme="majorHAnsi"/>
          <w:sz w:val="22"/>
          <w:lang w:val="de-DE"/>
        </w:rPr>
        <w:t xml:space="preserve">bei der Erfüllung seiner Pflichten aus dieser Teilnahmevereinbarung, </w:t>
      </w:r>
      <w:r w:rsidRPr="009A0817">
        <w:rPr>
          <w:rFonts w:asciiTheme="majorHAnsi" w:hAnsiTheme="majorHAnsi" w:cstheme="majorHAnsi"/>
          <w:sz w:val="22"/>
          <w:lang w:val="de-DE"/>
        </w:rPr>
        <w:t>durch die Bereitstellung der für seine Pilotteilnahme erforderlichen Informationen, Leitlinien und organisatorischen Abstimmungen, soweit dies für den Pilot zweckmäßig und in ihrem Einflussbereich möglich ist.</w:t>
      </w:r>
    </w:p>
    <w:p w14:paraId="35714E47" w14:textId="77777777" w:rsidR="00EE5EF4" w:rsidRPr="009A0817" w:rsidRDefault="00EE5EF4">
      <w:pPr>
        <w:pStyle w:val="Clause"/>
        <w:numPr>
          <w:ilvl w:val="0"/>
          <w:numId w:val="40"/>
        </w:numPr>
        <w:rPr>
          <w:rFonts w:asciiTheme="majorHAnsi" w:hAnsiTheme="majorHAnsi" w:cstheme="majorHAnsi"/>
          <w:sz w:val="22"/>
          <w:lang w:val="de-DE"/>
        </w:rPr>
      </w:pPr>
      <w:r w:rsidRPr="009A0817">
        <w:rPr>
          <w:rFonts w:asciiTheme="majorHAnsi" w:hAnsiTheme="majorHAnsi" w:cstheme="majorHAnsi"/>
          <w:sz w:val="22"/>
          <w:lang w:val="de-DE"/>
        </w:rPr>
        <w:t>Die Bundesbank koordiniert die den Pilothändler betreffenden Pilotaktivitäten, insbesondere Betriebsbereitschaft, Tests und Feedbackerhebung, in Abstimmung mit dem Pilot-Acquirer und den zuständigen Stellen des Eurosystems.</w:t>
      </w:r>
    </w:p>
    <w:p w14:paraId="56D4D2CF" w14:textId="017D656B" w:rsidR="00EE5EF4" w:rsidRPr="009A0817" w:rsidRDefault="00EE5EF4">
      <w:pPr>
        <w:pStyle w:val="Clause"/>
        <w:numPr>
          <w:ilvl w:val="0"/>
          <w:numId w:val="40"/>
        </w:numPr>
        <w:rPr>
          <w:rFonts w:asciiTheme="majorHAnsi" w:hAnsiTheme="majorHAnsi" w:cstheme="majorHAnsi"/>
          <w:sz w:val="22"/>
          <w:lang w:val="de-DE"/>
        </w:rPr>
      </w:pPr>
      <w:r w:rsidRPr="009A0817">
        <w:rPr>
          <w:rFonts w:asciiTheme="majorHAnsi" w:hAnsiTheme="majorHAnsi" w:cstheme="majorHAnsi"/>
          <w:sz w:val="22"/>
          <w:lang w:val="de-DE"/>
        </w:rPr>
        <w:t xml:space="preserve">Die Bundesbank informiert den Pilothändler über </w:t>
      </w:r>
      <w:r w:rsidR="000B0A32">
        <w:rPr>
          <w:rFonts w:asciiTheme="majorHAnsi" w:hAnsiTheme="majorHAnsi" w:cstheme="majorHAnsi"/>
          <w:sz w:val="22"/>
          <w:lang w:val="de-DE"/>
        </w:rPr>
        <w:t xml:space="preserve">sämtliche und </w:t>
      </w:r>
      <w:r w:rsidRPr="009A0817">
        <w:rPr>
          <w:rFonts w:asciiTheme="majorHAnsi" w:hAnsiTheme="majorHAnsi" w:cstheme="majorHAnsi"/>
          <w:sz w:val="22"/>
          <w:lang w:val="de-DE"/>
        </w:rPr>
        <w:t>wesentliche technische, operative oder organisatorische</w:t>
      </w:r>
      <w:r w:rsidR="000B0A32">
        <w:rPr>
          <w:rFonts w:asciiTheme="majorHAnsi" w:hAnsiTheme="majorHAnsi" w:cstheme="majorHAnsi"/>
          <w:sz w:val="22"/>
          <w:lang w:val="de-DE"/>
        </w:rPr>
        <w:t xml:space="preserve"> Informationen, einschließlich etwaiger Aktualisierungen und/oder</w:t>
      </w:r>
      <w:r w:rsidRPr="009A0817">
        <w:rPr>
          <w:rFonts w:asciiTheme="majorHAnsi" w:hAnsiTheme="majorHAnsi" w:cstheme="majorHAnsi"/>
          <w:sz w:val="22"/>
          <w:lang w:val="de-DE"/>
        </w:rPr>
        <w:t xml:space="preserve"> Änderungen </w:t>
      </w:r>
      <w:r w:rsidR="000B0A32">
        <w:rPr>
          <w:rFonts w:asciiTheme="majorHAnsi" w:hAnsiTheme="majorHAnsi" w:cstheme="majorHAnsi"/>
          <w:sz w:val="22"/>
          <w:lang w:val="de-DE"/>
        </w:rPr>
        <w:t>der Dokumentation oder den Pilotbetrieb</w:t>
      </w:r>
      <w:r w:rsidRPr="009A0817">
        <w:rPr>
          <w:rFonts w:asciiTheme="majorHAnsi" w:hAnsiTheme="majorHAnsi" w:cstheme="majorHAnsi"/>
          <w:sz w:val="22"/>
          <w:lang w:val="de-DE"/>
        </w:rPr>
        <w:t>, soweit diese seine Teilnahme betreffen</w:t>
      </w:r>
      <w:r>
        <w:rPr>
          <w:rFonts w:asciiTheme="majorHAnsi" w:hAnsiTheme="majorHAnsi" w:cstheme="majorHAnsi"/>
          <w:sz w:val="22"/>
          <w:lang w:val="de-DE"/>
        </w:rPr>
        <w:t>. Anpassungen nach § 2 Absatz 10 teilt sie nach Maßgabe dieser Bestimmung mit.</w:t>
      </w:r>
    </w:p>
    <w:p w14:paraId="3DA820F2" w14:textId="4D953605" w:rsidR="00EE5EF4" w:rsidRDefault="00EE5EF4">
      <w:pPr>
        <w:pStyle w:val="Clause"/>
        <w:numPr>
          <w:ilvl w:val="0"/>
          <w:numId w:val="40"/>
        </w:numPr>
        <w:rPr>
          <w:rFonts w:asciiTheme="majorHAnsi" w:hAnsiTheme="majorHAnsi" w:cstheme="majorHAnsi"/>
          <w:sz w:val="22"/>
          <w:lang w:val="de-DE"/>
        </w:rPr>
      </w:pPr>
      <w:r w:rsidRPr="009A0817">
        <w:rPr>
          <w:rFonts w:asciiTheme="majorHAnsi" w:hAnsiTheme="majorHAnsi" w:cstheme="majorHAnsi"/>
          <w:sz w:val="22"/>
          <w:lang w:val="de-DE"/>
        </w:rPr>
        <w:lastRenderedPageBreak/>
        <w:t>Die Bundesbank unterstützt die Koordination zwischen Pilothändler und Pilot-Acquirer</w:t>
      </w:r>
      <w:r w:rsidR="000B0A32">
        <w:rPr>
          <w:rFonts w:asciiTheme="majorHAnsi" w:hAnsiTheme="majorHAnsi" w:cstheme="majorHAnsi"/>
          <w:sz w:val="22"/>
          <w:lang w:val="de-DE"/>
        </w:rPr>
        <w:t xml:space="preserve"> für die Zwecke des Pilotbetriebs</w:t>
      </w:r>
      <w:r w:rsidRPr="009A0817">
        <w:rPr>
          <w:rFonts w:asciiTheme="majorHAnsi" w:hAnsiTheme="majorHAnsi" w:cstheme="majorHAnsi"/>
          <w:sz w:val="22"/>
          <w:lang w:val="de-DE"/>
        </w:rPr>
        <w:t>, ohne die eigenständige Vertragsbeziehung zwischen diesen Parteien zu verändern oder</w:t>
      </w:r>
      <w:r w:rsidR="000B0A32">
        <w:rPr>
          <w:rFonts w:asciiTheme="majorHAnsi" w:hAnsiTheme="majorHAnsi" w:cstheme="majorHAnsi"/>
          <w:sz w:val="22"/>
          <w:lang w:val="de-DE"/>
        </w:rPr>
        <w:t xml:space="preserve"> außer Kraft zu setzen</w:t>
      </w:r>
      <w:r w:rsidRPr="009A0817">
        <w:rPr>
          <w:rFonts w:asciiTheme="majorHAnsi" w:hAnsiTheme="majorHAnsi" w:cstheme="majorHAnsi"/>
          <w:sz w:val="22"/>
          <w:lang w:val="de-DE"/>
        </w:rPr>
        <w:t>.</w:t>
      </w:r>
    </w:p>
    <w:p w14:paraId="7604C445" w14:textId="77777777" w:rsidR="00EE5EF4" w:rsidRPr="009B39BB" w:rsidRDefault="00EE5EF4">
      <w:pPr>
        <w:pStyle w:val="Clause"/>
        <w:numPr>
          <w:ilvl w:val="0"/>
          <w:numId w:val="40"/>
        </w:numPr>
        <w:rPr>
          <w:rFonts w:asciiTheme="majorHAnsi" w:hAnsiTheme="majorHAnsi" w:cstheme="majorHAnsi"/>
          <w:sz w:val="22"/>
          <w:lang w:val="de-DE"/>
        </w:rPr>
      </w:pPr>
      <w:r w:rsidRPr="009B39BB">
        <w:rPr>
          <w:rFonts w:asciiTheme="majorHAnsi" w:hAnsiTheme="majorHAnsi" w:cstheme="majorHAnsi"/>
          <w:sz w:val="22"/>
          <w:lang w:val="de-DE"/>
        </w:rPr>
        <w:t xml:space="preserve">Die Bundesbank stellt dem Pilothändler </w:t>
      </w:r>
      <w:r>
        <w:rPr>
          <w:rFonts w:asciiTheme="majorHAnsi" w:hAnsiTheme="majorHAnsi" w:cstheme="majorHAnsi"/>
          <w:sz w:val="22"/>
          <w:lang w:val="de-DE"/>
        </w:rPr>
        <w:t xml:space="preserve">im nach Anhang D vereinbarten Umfang die Pilotfläche und die Standortleistungen </w:t>
      </w:r>
      <w:r w:rsidRPr="000B0A32">
        <w:rPr>
          <w:rFonts w:asciiTheme="majorHAnsi" w:hAnsiTheme="majorHAnsi" w:cstheme="majorHAnsi"/>
          <w:sz w:val="22"/>
          <w:lang w:val="de-DE"/>
        </w:rPr>
        <w:t>bereit. Einzelheiten der Flächennutzung, Ausstattung, Logistik und des Zutritts regelt Anhang D.</w:t>
      </w:r>
    </w:p>
    <w:p w14:paraId="2FEA7B89" w14:textId="469C916D" w:rsidR="00EE5EF4" w:rsidRPr="009A0817" w:rsidRDefault="00EE5EF4">
      <w:pPr>
        <w:pStyle w:val="Clause"/>
        <w:numPr>
          <w:ilvl w:val="0"/>
          <w:numId w:val="40"/>
        </w:numPr>
        <w:rPr>
          <w:rFonts w:asciiTheme="majorHAnsi" w:hAnsiTheme="majorHAnsi" w:cstheme="majorHAnsi"/>
          <w:sz w:val="22"/>
          <w:lang w:val="de-DE"/>
        </w:rPr>
      </w:pPr>
      <w:r w:rsidRPr="009A0817">
        <w:rPr>
          <w:rFonts w:asciiTheme="majorHAnsi" w:hAnsiTheme="majorHAnsi" w:cstheme="majorHAnsi"/>
          <w:sz w:val="22"/>
          <w:lang w:val="de-DE"/>
        </w:rPr>
        <w:t xml:space="preserve">Bei Abschluss </w:t>
      </w:r>
      <w:r>
        <w:rPr>
          <w:rFonts w:asciiTheme="majorHAnsi" w:hAnsiTheme="majorHAnsi" w:cstheme="majorHAnsi"/>
          <w:sz w:val="22"/>
          <w:lang w:val="de-DE"/>
        </w:rPr>
        <w:t>des Pilotbetriebs oder bei Beendigung dieser Vereinbarung</w:t>
      </w:r>
      <w:r w:rsidRPr="009A0817">
        <w:rPr>
          <w:rFonts w:asciiTheme="majorHAnsi" w:hAnsiTheme="majorHAnsi" w:cstheme="majorHAnsi"/>
          <w:sz w:val="22"/>
          <w:lang w:val="de-DE"/>
        </w:rPr>
        <w:t xml:space="preserve"> teilt die Bundesbank die maßgeblichen </w:t>
      </w:r>
      <w:proofErr w:type="spellStart"/>
      <w:r w:rsidRPr="009A0817">
        <w:rPr>
          <w:rFonts w:asciiTheme="majorHAnsi" w:hAnsiTheme="majorHAnsi" w:cstheme="majorHAnsi"/>
          <w:sz w:val="22"/>
          <w:lang w:val="de-DE"/>
        </w:rPr>
        <w:t>Offboarding</w:t>
      </w:r>
      <w:proofErr w:type="spellEnd"/>
      <w:r w:rsidRPr="009A0817">
        <w:rPr>
          <w:rFonts w:asciiTheme="majorHAnsi" w:hAnsiTheme="majorHAnsi" w:cstheme="majorHAnsi"/>
          <w:sz w:val="22"/>
          <w:lang w:val="de-DE"/>
        </w:rPr>
        <w:t xml:space="preserve">-Anforderungen mit und koordiniert die </w:t>
      </w:r>
      <w:r w:rsidR="000B0A32">
        <w:rPr>
          <w:rFonts w:asciiTheme="majorHAnsi" w:hAnsiTheme="majorHAnsi" w:cstheme="majorHAnsi"/>
          <w:sz w:val="22"/>
          <w:lang w:val="de-DE"/>
        </w:rPr>
        <w:t>ordnungsgemäße</w:t>
      </w:r>
      <w:r w:rsidRPr="009A0817">
        <w:rPr>
          <w:rFonts w:asciiTheme="majorHAnsi" w:hAnsiTheme="majorHAnsi" w:cstheme="majorHAnsi"/>
          <w:sz w:val="22"/>
          <w:lang w:val="de-DE"/>
        </w:rPr>
        <w:t xml:space="preserve"> Beendigung der Pilotteilnahme. Ein unterbrechungsfreier technischer Betrieb der Pilotinfrastruktur kann aufgrund des Erprobungscharakters des Pilotbetriebs nicht garantiert werden.</w:t>
      </w:r>
    </w:p>
    <w:p w14:paraId="519202F9"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xml:space="preserve">§ 6 Abschluss des Piloten und </w:t>
      </w:r>
      <w:proofErr w:type="spellStart"/>
      <w:r w:rsidRPr="009A0817">
        <w:rPr>
          <w:rFonts w:cstheme="majorHAnsi"/>
          <w:sz w:val="22"/>
          <w:szCs w:val="22"/>
        </w:rPr>
        <w:t>Offboarding</w:t>
      </w:r>
      <w:proofErr w:type="spellEnd"/>
    </w:p>
    <w:p w14:paraId="6988D9E1" w14:textId="78A8B099" w:rsidR="00EE5EF4" w:rsidRPr="009A0817" w:rsidRDefault="00EE5EF4">
      <w:pPr>
        <w:pStyle w:val="Clause"/>
        <w:numPr>
          <w:ilvl w:val="0"/>
          <w:numId w:val="39"/>
        </w:numPr>
        <w:rPr>
          <w:rFonts w:asciiTheme="majorHAnsi" w:hAnsiTheme="majorHAnsi" w:cstheme="majorHAnsi"/>
          <w:sz w:val="22"/>
          <w:lang w:val="de-DE"/>
        </w:rPr>
      </w:pPr>
      <w:r>
        <w:rPr>
          <w:rFonts w:asciiTheme="majorHAnsi" w:hAnsiTheme="majorHAnsi" w:cstheme="majorHAnsi"/>
          <w:sz w:val="22"/>
          <w:lang w:val="de-DE"/>
        </w:rPr>
        <w:t>Die Bundesbank teilt dem Pilothändler die näheren Abläufe für den regulären Abschluss des Pilot</w:t>
      </w:r>
      <w:r w:rsidR="000B0A32">
        <w:rPr>
          <w:rFonts w:asciiTheme="majorHAnsi" w:hAnsiTheme="majorHAnsi" w:cstheme="majorHAnsi"/>
          <w:sz w:val="22"/>
          <w:lang w:val="de-DE"/>
        </w:rPr>
        <w:t>betriebs</w:t>
      </w:r>
      <w:r>
        <w:rPr>
          <w:rFonts w:asciiTheme="majorHAnsi" w:hAnsiTheme="majorHAnsi" w:cstheme="majorHAnsi"/>
          <w:sz w:val="22"/>
          <w:lang w:val="de-DE"/>
        </w:rPr>
        <w:t xml:space="preserve"> </w:t>
      </w:r>
      <w:r w:rsidR="000B0A32">
        <w:rPr>
          <w:rFonts w:asciiTheme="majorHAnsi" w:hAnsiTheme="majorHAnsi" w:cstheme="majorHAnsi"/>
          <w:sz w:val="22"/>
          <w:lang w:val="de-DE"/>
        </w:rPr>
        <w:t xml:space="preserve">während </w:t>
      </w:r>
      <w:r>
        <w:rPr>
          <w:rFonts w:asciiTheme="majorHAnsi" w:hAnsiTheme="majorHAnsi" w:cstheme="majorHAnsi"/>
          <w:sz w:val="22"/>
          <w:lang w:val="de-DE"/>
        </w:rPr>
        <w:t>der Pilotentwicklungsphase mit.</w:t>
      </w:r>
    </w:p>
    <w:p w14:paraId="421B7B42" w14:textId="7DEBB4EA" w:rsidR="00EE5EF4" w:rsidRPr="009A0817" w:rsidRDefault="00EE5EF4">
      <w:pPr>
        <w:pStyle w:val="Clause"/>
        <w:numPr>
          <w:ilvl w:val="0"/>
          <w:numId w:val="39"/>
        </w:numPr>
        <w:rPr>
          <w:rFonts w:asciiTheme="majorHAnsi" w:hAnsiTheme="majorHAnsi" w:cstheme="majorHAnsi"/>
          <w:sz w:val="22"/>
          <w:lang w:val="de-DE"/>
        </w:rPr>
      </w:pPr>
      <w:r w:rsidRPr="009A0817">
        <w:rPr>
          <w:rFonts w:asciiTheme="majorHAnsi" w:hAnsiTheme="majorHAnsi" w:cstheme="majorHAnsi"/>
          <w:sz w:val="22"/>
          <w:lang w:val="de-DE"/>
        </w:rPr>
        <w:t>Bei Abschluss des Pilot</w:t>
      </w:r>
      <w:r w:rsidR="000B0A32">
        <w:rPr>
          <w:rFonts w:asciiTheme="majorHAnsi" w:hAnsiTheme="majorHAnsi" w:cstheme="majorHAnsi"/>
          <w:sz w:val="22"/>
          <w:lang w:val="de-DE"/>
        </w:rPr>
        <w:t>betriebs</w:t>
      </w:r>
      <w:r w:rsidRPr="009A0817">
        <w:rPr>
          <w:rFonts w:asciiTheme="majorHAnsi" w:hAnsiTheme="majorHAnsi" w:cstheme="majorHAnsi"/>
          <w:sz w:val="22"/>
          <w:lang w:val="de-DE"/>
        </w:rPr>
        <w:t xml:space="preserve"> oder </w:t>
      </w:r>
      <w:r>
        <w:rPr>
          <w:rFonts w:asciiTheme="majorHAnsi" w:hAnsiTheme="majorHAnsi" w:cstheme="majorHAnsi"/>
          <w:sz w:val="22"/>
          <w:lang w:val="de-DE"/>
        </w:rPr>
        <w:t>sonstiger Beendigung dieser Teilnahmevereinbarung, auch mit Ablauf des Zugesagten Teilnahmezeitraums,</w:t>
      </w:r>
      <w:r w:rsidRPr="009A0817">
        <w:rPr>
          <w:rFonts w:asciiTheme="majorHAnsi" w:hAnsiTheme="majorHAnsi" w:cstheme="majorHAnsi"/>
          <w:sz w:val="22"/>
          <w:lang w:val="de-DE"/>
        </w:rPr>
        <w:t xml:space="preserve"> hat der Pilothändler insbesondere:</w:t>
      </w:r>
    </w:p>
    <w:p w14:paraId="335469BF" w14:textId="3D73205C" w:rsidR="00EE5EF4" w:rsidRPr="009A0817" w:rsidRDefault="00EE5EF4">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 xml:space="preserve">die Annahme von Beta-Digital-Euro-Zahlungen am Pilotstandort </w:t>
      </w:r>
      <w:r w:rsidR="000B0A32">
        <w:rPr>
          <w:rFonts w:asciiTheme="majorHAnsi" w:hAnsiTheme="majorHAnsi" w:cstheme="majorHAnsi"/>
          <w:sz w:val="22"/>
          <w:lang w:val="de-DE"/>
        </w:rPr>
        <w:t xml:space="preserve">unverzüglich </w:t>
      </w:r>
      <w:r w:rsidRPr="009A0817">
        <w:rPr>
          <w:rFonts w:asciiTheme="majorHAnsi" w:hAnsiTheme="majorHAnsi" w:cstheme="majorHAnsi"/>
          <w:sz w:val="22"/>
          <w:lang w:val="de-DE"/>
        </w:rPr>
        <w:t>einzustellen;</w:t>
      </w:r>
    </w:p>
    <w:p w14:paraId="486984E6" w14:textId="599CEB3A" w:rsidR="00EE5EF4" w:rsidRPr="009A0817" w:rsidRDefault="00EE5EF4">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die Pilot-Akzeptanzfunktion zu deaktivieren, bereitgestellte Pilotgeräte, Unterlagen, Zugangskarten</w:t>
      </w:r>
      <w:r w:rsidR="000B0A32">
        <w:rPr>
          <w:rFonts w:asciiTheme="majorHAnsi" w:hAnsiTheme="majorHAnsi" w:cstheme="majorHAnsi"/>
          <w:sz w:val="22"/>
          <w:lang w:val="de-DE"/>
        </w:rPr>
        <w:t xml:space="preserve"> </w:t>
      </w:r>
      <w:r w:rsidRPr="009A0817">
        <w:rPr>
          <w:rFonts w:asciiTheme="majorHAnsi" w:hAnsiTheme="majorHAnsi" w:cstheme="majorHAnsi"/>
          <w:sz w:val="22"/>
          <w:lang w:val="de-DE"/>
        </w:rPr>
        <w:t>oder sonstige Gegenstände nach den Vorgaben der jeweils zuständigen Stelle zurückzugeben und eigene Endgeräte, Waren, Betriebsmittel sowie temporäre Aufbauten von der Pilotfläche zu entfernen;</w:t>
      </w:r>
    </w:p>
    <w:p w14:paraId="131C5475" w14:textId="77777777" w:rsidR="00EE5EF4" w:rsidRPr="009A0817" w:rsidRDefault="00EE5EF4">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mit dem Pilot-Acquirer noch offene zahlungsbezogene Vorgänge, insbesondere Stornierungen oder Rückabwicklungen, geordnet abzuschließen;</w:t>
      </w:r>
    </w:p>
    <w:p w14:paraId="40E0CB5E" w14:textId="77777777" w:rsidR="00EE5EF4" w:rsidRPr="009A0817" w:rsidRDefault="00EE5EF4">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noch ausstehende Feedback- und Berichtspflichten nach Anhang B zu erfüllen;</w:t>
      </w:r>
    </w:p>
    <w:p w14:paraId="0AE6BE34" w14:textId="77777777" w:rsidR="00EE5EF4" w:rsidRPr="009A0817" w:rsidRDefault="00EE5EF4">
      <w:pPr>
        <w:pStyle w:val="Subclause"/>
        <w:numPr>
          <w:ilvl w:val="1"/>
          <w:numId w:val="39"/>
        </w:numPr>
        <w:rPr>
          <w:rFonts w:asciiTheme="majorHAnsi" w:hAnsiTheme="majorHAnsi" w:cstheme="majorHAnsi"/>
          <w:sz w:val="22"/>
          <w:lang w:val="de-DE"/>
        </w:rPr>
      </w:pPr>
      <w:r w:rsidRPr="009A0817">
        <w:rPr>
          <w:rFonts w:asciiTheme="majorHAnsi" w:hAnsiTheme="majorHAnsi" w:cstheme="majorHAnsi"/>
          <w:sz w:val="22"/>
          <w:lang w:val="de-DE"/>
        </w:rPr>
        <w:t>pilotbezogene Kennzeichnungen, Kommunikationsmittel oder Zugangsmittel nach den Vorgaben der Bundesbank zu entfernen bzw. zurückzugeben sowie die Pilotfläche in einem ordentlichen, von eigenen Gegenständen geräumten Zustand zu übergeben und die vereinbarten standortbezogenen Rückgabe- und Räumungspflichten zu erfüllen.</w:t>
      </w:r>
    </w:p>
    <w:p w14:paraId="511B7754" w14:textId="77777777" w:rsidR="00EE5EF4" w:rsidRDefault="00EE5EF4">
      <w:pPr>
        <w:pStyle w:val="Clause"/>
        <w:numPr>
          <w:ilvl w:val="0"/>
          <w:numId w:val="39"/>
        </w:numPr>
        <w:rPr>
          <w:rFonts w:asciiTheme="majorHAnsi" w:hAnsiTheme="majorHAnsi" w:cstheme="majorHAnsi"/>
          <w:sz w:val="22"/>
          <w:lang w:val="de-DE"/>
        </w:rPr>
      </w:pPr>
      <w:r w:rsidRPr="009A0817">
        <w:rPr>
          <w:rFonts w:asciiTheme="majorHAnsi" w:hAnsiTheme="majorHAnsi" w:cstheme="majorHAnsi"/>
          <w:sz w:val="22"/>
          <w:lang w:val="de-DE"/>
        </w:rPr>
        <w:t>Die Maßnahmen nach Absatz 2 sind innerhalb der von der Bundesbank mitgeteilten Frist, andernfalls ohne schuldhaftes Zögern, umzusetzen.</w:t>
      </w:r>
    </w:p>
    <w:p w14:paraId="25BDB253" w14:textId="095EF5E8" w:rsidR="00EE5EF4" w:rsidRPr="009A0817" w:rsidRDefault="00EE5EF4">
      <w:pPr>
        <w:pStyle w:val="Clause"/>
        <w:numPr>
          <w:ilvl w:val="0"/>
          <w:numId w:val="39"/>
        </w:numPr>
        <w:rPr>
          <w:rFonts w:asciiTheme="majorHAnsi" w:hAnsiTheme="majorHAnsi" w:cstheme="majorHAnsi"/>
          <w:sz w:val="22"/>
          <w:lang w:val="de-DE"/>
        </w:rPr>
      </w:pPr>
      <w:r w:rsidRPr="00D677D7">
        <w:rPr>
          <w:rFonts w:asciiTheme="majorHAnsi" w:hAnsiTheme="majorHAnsi" w:cstheme="majorHAnsi"/>
          <w:sz w:val="22"/>
          <w:lang w:val="de-DE"/>
        </w:rPr>
        <w:t xml:space="preserve">Kommt der Pilothändler seinen Räumungs- und Rückgabepflichten nach Absatz 2 Buchstabe b und e auch nach Ablauf einer ihm in Textform gesetzten Nachfrist von mindestens zehn (10) Kalendertagen nicht nach, ist die Bundesbank berechtigt, die Pilotfläche auf Kosten des </w:t>
      </w:r>
      <w:r>
        <w:rPr>
          <w:rFonts w:asciiTheme="majorHAnsi" w:hAnsiTheme="majorHAnsi" w:cstheme="majorHAnsi"/>
          <w:sz w:val="22"/>
          <w:lang w:val="de-DE"/>
        </w:rPr>
        <w:t>Pilothändlers</w:t>
      </w:r>
      <w:r w:rsidRPr="00D677D7">
        <w:rPr>
          <w:rFonts w:asciiTheme="majorHAnsi" w:hAnsiTheme="majorHAnsi" w:cstheme="majorHAnsi"/>
          <w:sz w:val="22"/>
          <w:lang w:val="de-DE"/>
        </w:rPr>
        <w:t xml:space="preserve"> räumen zu lassen und zurückgelassene Gegenstände auf dessen Kosten und Gefahr einzulagern. Die Bundesbank haftet hierbei nur für Vorsatz und grobe Fahrlässigkeit. Holt der Pilothändler eingelagerte Gegenstände nicht innerhalb von drei (3) Monaten nach Aufforderung in Textform ab, darf die Bundesbank sie verwerten oder, soweit sie keinen Verkehrswert haben, entsorgen; ein Verwertungserlös wird nach Abzug der Kosten ausgezahlt. Verderbliche Waren darf die Bundesbank </w:t>
      </w:r>
      <w:r>
        <w:rPr>
          <w:rFonts w:asciiTheme="majorHAnsi" w:hAnsiTheme="majorHAnsi" w:cstheme="majorHAnsi"/>
          <w:sz w:val="22"/>
          <w:lang w:val="de-DE"/>
        </w:rPr>
        <w:t>abweichend von Satz 3 bereits nach Ablauf der Nachfrist nach Satz 1 entsorgen</w:t>
      </w:r>
      <w:r w:rsidRPr="00D677D7">
        <w:rPr>
          <w:rFonts w:asciiTheme="majorHAnsi" w:hAnsiTheme="majorHAnsi" w:cstheme="majorHAnsi"/>
          <w:sz w:val="22"/>
          <w:lang w:val="de-DE"/>
        </w:rPr>
        <w:t>.</w:t>
      </w:r>
    </w:p>
    <w:p w14:paraId="796EE7B3"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7 Haftung und Leistungsstörungen</w:t>
      </w:r>
    </w:p>
    <w:p w14:paraId="7D160B30" w14:textId="77777777" w:rsidR="00AE0BC3" w:rsidRPr="00F92B01" w:rsidRDefault="00AE0BC3" w:rsidP="00AE0BC3">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t>Keine Partei haftet der anderen Partei für Schäden oder Verluste, sofern in diesem Artikel 7 nicht ausdrücklich etwas Abweichendes vereinbart ist.</w:t>
      </w:r>
    </w:p>
    <w:p w14:paraId="51B831EA" w14:textId="74BA056B" w:rsidR="00AE0BC3" w:rsidRPr="00F92B01" w:rsidRDefault="00AE0BC3" w:rsidP="00AE0BC3">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lastRenderedPageBreak/>
        <w:t>Jede Partei haftet gegenüber der anderen Partei ausschließlich für Schäden oder Verluste, die auf einer vorsätzlichen Pflichtverletzung oder auf grober Fahrlässigkeit bei der Erfüllung ihrer Pflichten und Verpflichtungen aus dieser Teilnahmevereinbarung beruhen.</w:t>
      </w:r>
    </w:p>
    <w:p w14:paraId="225FB30E" w14:textId="77777777" w:rsidR="00AE0BC3" w:rsidRPr="00F92B01" w:rsidRDefault="00AE0BC3" w:rsidP="00AE0BC3">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t>Tritt ein Schaden oder Verlust gemäß Absatz 2 ein, hat die hierfür verantwortliche Partei den Schaden unverzüglich und vollständig zu ersetzen.</w:t>
      </w:r>
    </w:p>
    <w:p w14:paraId="4C64D9C8" w14:textId="77777777" w:rsidR="00AE0BC3" w:rsidRPr="00F92B01" w:rsidRDefault="00AE0BC3" w:rsidP="00AE0BC3">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t>Keine Partei haftet gegenüber der anderen Partei für die Nichterfüllung einer Verpflichtung aus dieser Teilnahmevereinbarung, soweit diese Nichterfüllung auf Umständen beruht, die außerhalb ihres zumutbaren Einflussbereichs liegen und zurückzuführen sind auf:</w:t>
      </w:r>
    </w:p>
    <w:p w14:paraId="5403A240" w14:textId="5A76C288" w:rsidR="00AE0BC3" w:rsidRPr="00F92B01" w:rsidRDefault="00AE0BC3" w:rsidP="00573DE4">
      <w:pPr>
        <w:pStyle w:val="Clause"/>
        <w:numPr>
          <w:ilvl w:val="0"/>
          <w:numId w:val="62"/>
        </w:numPr>
        <w:jc w:val="both"/>
        <w:rPr>
          <w:rFonts w:asciiTheme="majorHAnsi" w:hAnsiTheme="majorHAnsi" w:cstheme="majorHAnsi"/>
          <w:sz w:val="22"/>
          <w:lang w:val="de-DE"/>
        </w:rPr>
      </w:pPr>
      <w:r w:rsidRPr="00F92B01">
        <w:rPr>
          <w:rFonts w:asciiTheme="majorHAnsi" w:hAnsiTheme="majorHAnsi" w:cstheme="majorHAnsi"/>
          <w:sz w:val="22"/>
          <w:lang w:val="de-DE"/>
        </w:rPr>
        <w:t>höhere Gewalt; oder</w:t>
      </w:r>
    </w:p>
    <w:p w14:paraId="2A744DDD" w14:textId="70384DF2" w:rsidR="00AE0BC3" w:rsidRPr="00F92B01" w:rsidRDefault="00AE0BC3" w:rsidP="00573DE4">
      <w:pPr>
        <w:pStyle w:val="Clause"/>
        <w:numPr>
          <w:ilvl w:val="0"/>
          <w:numId w:val="62"/>
        </w:numPr>
        <w:jc w:val="both"/>
        <w:rPr>
          <w:rFonts w:asciiTheme="majorHAnsi" w:hAnsiTheme="majorHAnsi" w:cstheme="majorHAnsi"/>
          <w:sz w:val="22"/>
          <w:lang w:val="de-DE"/>
        </w:rPr>
      </w:pPr>
      <w:r w:rsidRPr="00F92B01">
        <w:rPr>
          <w:rFonts w:asciiTheme="majorHAnsi" w:hAnsiTheme="majorHAnsi" w:cstheme="majorHAnsi"/>
          <w:sz w:val="22"/>
          <w:lang w:val="de-DE"/>
        </w:rPr>
        <w:t>Handlungen oder Unterlassungen Dritter, soweit diese Handlungen oder Unterlassungen außerhalb des zumutbaren Einflussbereichs der ihre Verpflichtung nicht erfüllenden Partei liegen.</w:t>
      </w:r>
    </w:p>
    <w:p w14:paraId="36DDA33E" w14:textId="3304ADF2" w:rsidR="00AE0BC3" w:rsidRPr="00F92B01" w:rsidRDefault="00AE0BC3" w:rsidP="00AE0BC3">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t>Die Parteien werden versuchen, Streitigkeiten zwischen der Bundesbank und dem Pilothändler, die aus oder im Zusammenhang mit dieser Teilnahmevereinbarung entstehen, konstruktiv und unter angemessener Berücksichtigung ihrer jeweiligen Belange und berechtigten Interessen beizulegen. Sie werden sich nach Treu und Glauben um eine einvernehmliche Lösung bemühen. Ein erster Versuch zur Beilegung einer Streitigkeit soll, sobald die Umstände dies zulassen, durch Verhandlungen zwischen der Bundesbank und dem Pilothändler erfolgen.</w:t>
      </w:r>
    </w:p>
    <w:p w14:paraId="54578E7B" w14:textId="77777777" w:rsidR="00EE5EF4" w:rsidRPr="00F92B01" w:rsidRDefault="00EE5EF4">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t>Die Parteien informieren sich über wesentliche Leistungsstörungen unverzüglich und wirken nach Treu und Glauben an deren Begrenzung und Behebung mit.</w:t>
      </w:r>
    </w:p>
    <w:p w14:paraId="481B9226" w14:textId="7692A344" w:rsidR="005C759D" w:rsidRPr="00F92B01" w:rsidRDefault="005C759D" w:rsidP="005C759D">
      <w:pPr>
        <w:pStyle w:val="Clause"/>
        <w:numPr>
          <w:ilvl w:val="0"/>
          <w:numId w:val="38"/>
        </w:numPr>
        <w:rPr>
          <w:rFonts w:asciiTheme="majorHAnsi" w:hAnsiTheme="majorHAnsi" w:cstheme="majorHAnsi"/>
          <w:sz w:val="22"/>
          <w:lang w:val="de-DE"/>
        </w:rPr>
      </w:pPr>
      <w:r w:rsidRPr="00F92B01">
        <w:rPr>
          <w:rFonts w:asciiTheme="majorHAnsi" w:hAnsiTheme="majorHAnsi" w:cstheme="majorHAnsi"/>
          <w:sz w:val="22"/>
          <w:lang w:val="de-DE"/>
        </w:rPr>
        <w:t xml:space="preserve">Der Pilothändler unterhält während der Nutzung der Pilotfläche eine Betriebshaftpflichtversicherung mit einer Deckungssumme von mindestens </w:t>
      </w:r>
      <w:r w:rsidR="00AE0BC3" w:rsidRPr="00F92B01">
        <w:rPr>
          <w:rFonts w:asciiTheme="majorHAnsi" w:hAnsiTheme="majorHAnsi" w:cstheme="majorHAnsi"/>
          <w:sz w:val="22"/>
          <w:lang w:val="de-DE"/>
        </w:rPr>
        <w:t>zehn (10) Millionen</w:t>
      </w:r>
      <w:r w:rsidRPr="00F92B01">
        <w:rPr>
          <w:rFonts w:asciiTheme="majorHAnsi" w:hAnsiTheme="majorHAnsi" w:cstheme="majorHAnsi"/>
          <w:sz w:val="22"/>
          <w:lang w:val="de-DE"/>
        </w:rPr>
        <w:t xml:space="preserve"> EUR pauschal für Personen- und Sachschäden, einschließlich Schäden an überlassenen Räumen und Einrichtungen, und weist diese vor Betriebsaufnahme in Textform nach</w:t>
      </w:r>
      <w:r w:rsidR="000B0A32" w:rsidRPr="00F92B01">
        <w:rPr>
          <w:rFonts w:asciiTheme="majorHAnsi" w:hAnsiTheme="majorHAnsi" w:cstheme="majorHAnsi"/>
          <w:sz w:val="22"/>
          <w:lang w:val="de-DE"/>
        </w:rPr>
        <w:t>.</w:t>
      </w:r>
    </w:p>
    <w:p w14:paraId="3BAFF212"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8 Kommunikation und Außenauftritt</w:t>
      </w:r>
    </w:p>
    <w:p w14:paraId="67E67F5E" w14:textId="38968A17" w:rsidR="00EE5EF4" w:rsidRPr="009A0817" w:rsidRDefault="00EE5EF4">
      <w:pPr>
        <w:pStyle w:val="Clause"/>
        <w:numPr>
          <w:ilvl w:val="0"/>
          <w:numId w:val="37"/>
        </w:numPr>
        <w:rPr>
          <w:rFonts w:asciiTheme="majorHAnsi" w:hAnsiTheme="majorHAnsi" w:cstheme="majorHAnsi"/>
          <w:sz w:val="22"/>
          <w:lang w:val="de-DE"/>
        </w:rPr>
      </w:pPr>
      <w:r w:rsidRPr="009A0817">
        <w:rPr>
          <w:rFonts w:asciiTheme="majorHAnsi" w:hAnsiTheme="majorHAnsi" w:cstheme="majorHAnsi"/>
          <w:sz w:val="22"/>
          <w:lang w:val="de-DE"/>
        </w:rPr>
        <w:t>Für öffentliche Kommunikation, Marketing und sonstige externe Darstellungen der Pilotteilnahme gelten die Kommunikationsleitlinien in Anhang C.</w:t>
      </w:r>
      <w:r w:rsidR="00F92B01" w:rsidRPr="00F92B01">
        <w:rPr>
          <w:rFonts w:asciiTheme="majorHAnsi" w:hAnsiTheme="majorHAnsi" w:cstheme="majorHAnsi"/>
          <w:sz w:val="22"/>
          <w:lang w:val="de-DE"/>
        </w:rPr>
        <w:t xml:space="preserve"> Diese gelten für sämtliche Marketing- und Kommunikationsmaßnahmen sowie Kommunikationsmaterialien, die der Pilot</w:t>
      </w:r>
      <w:r w:rsidR="00F92B01">
        <w:rPr>
          <w:rFonts w:asciiTheme="majorHAnsi" w:hAnsiTheme="majorHAnsi" w:cstheme="majorHAnsi"/>
          <w:sz w:val="22"/>
          <w:lang w:val="de-DE"/>
        </w:rPr>
        <w:t>h</w:t>
      </w:r>
      <w:r w:rsidR="00F92B01" w:rsidRPr="00F92B01">
        <w:rPr>
          <w:rFonts w:asciiTheme="majorHAnsi" w:hAnsiTheme="majorHAnsi" w:cstheme="majorHAnsi"/>
          <w:sz w:val="22"/>
          <w:lang w:val="de-DE"/>
        </w:rPr>
        <w:t>ändler im Zusammenhang mit seiner Beteiligung am Pilot</w:t>
      </w:r>
      <w:r w:rsidR="00F92B01">
        <w:rPr>
          <w:rFonts w:asciiTheme="majorHAnsi" w:hAnsiTheme="majorHAnsi" w:cstheme="majorHAnsi"/>
          <w:sz w:val="22"/>
          <w:lang w:val="de-DE"/>
        </w:rPr>
        <w:t>betrieb</w:t>
      </w:r>
      <w:r w:rsidR="00F92B01" w:rsidRPr="00F92B01">
        <w:rPr>
          <w:rFonts w:asciiTheme="majorHAnsi" w:hAnsiTheme="majorHAnsi" w:cstheme="majorHAnsi"/>
          <w:sz w:val="22"/>
          <w:lang w:val="de-DE"/>
        </w:rPr>
        <w:t xml:space="preserve"> erstellt oder verwendet.</w:t>
      </w:r>
    </w:p>
    <w:p w14:paraId="10B12965" w14:textId="77777777" w:rsidR="00EE5EF4" w:rsidRPr="009A0817" w:rsidRDefault="00EE5EF4">
      <w:pPr>
        <w:pStyle w:val="Clause"/>
        <w:numPr>
          <w:ilvl w:val="0"/>
          <w:numId w:val="37"/>
        </w:numPr>
        <w:rPr>
          <w:rFonts w:asciiTheme="majorHAnsi" w:hAnsiTheme="majorHAnsi" w:cstheme="majorHAnsi"/>
          <w:sz w:val="22"/>
          <w:lang w:val="de-DE"/>
        </w:rPr>
      </w:pPr>
      <w:r w:rsidRPr="009A0817">
        <w:rPr>
          <w:rFonts w:asciiTheme="majorHAnsi" w:hAnsiTheme="majorHAnsi" w:cstheme="majorHAnsi"/>
          <w:sz w:val="22"/>
          <w:lang w:val="de-DE"/>
        </w:rPr>
        <w:t>Die Nutzung von Namen, Marken, Logos oder sonstigen Kennzeichen der Bundesbank, der Europäischen Zentralbank oder des Eurosystems bedarf einer vorherigen schriftlichen Freigabe</w:t>
      </w:r>
      <w:r>
        <w:rPr>
          <w:rFonts w:asciiTheme="majorHAnsi" w:hAnsiTheme="majorHAnsi" w:cstheme="majorHAnsi"/>
          <w:sz w:val="22"/>
          <w:lang w:val="de-DE"/>
        </w:rPr>
        <w:t xml:space="preserve"> durch die Bundesbank</w:t>
      </w:r>
      <w:r w:rsidRPr="009A0817">
        <w:rPr>
          <w:rFonts w:asciiTheme="majorHAnsi" w:hAnsiTheme="majorHAnsi" w:cstheme="majorHAnsi"/>
          <w:sz w:val="22"/>
          <w:lang w:val="de-DE"/>
        </w:rPr>
        <w:t>, soweit ihre Nutzung nicht bereits ausdrücklich in Anhang C gestattet ist.</w:t>
      </w:r>
      <w:r>
        <w:rPr>
          <w:rFonts w:asciiTheme="majorHAnsi" w:hAnsiTheme="majorHAnsi" w:cstheme="majorHAnsi"/>
          <w:sz w:val="22"/>
          <w:lang w:val="de-DE"/>
        </w:rPr>
        <w:t xml:space="preserve"> Im Übrigen bedürfen nur solche Kommunikationsmaßnahmen der vorherigen Freigabe, die über die Kommunikationsleitlinien in Anhang C hinausgehen oder von ihnen abweichen.</w:t>
      </w:r>
    </w:p>
    <w:p w14:paraId="778DBEE9" w14:textId="77777777" w:rsidR="00EE5EF4" w:rsidRPr="009A0817" w:rsidRDefault="00EE5EF4">
      <w:pPr>
        <w:pStyle w:val="Clause"/>
        <w:numPr>
          <w:ilvl w:val="0"/>
          <w:numId w:val="37"/>
        </w:numPr>
        <w:rPr>
          <w:rFonts w:asciiTheme="majorHAnsi" w:hAnsiTheme="majorHAnsi" w:cstheme="majorHAnsi"/>
          <w:sz w:val="22"/>
          <w:lang w:val="de-DE"/>
        </w:rPr>
      </w:pPr>
      <w:r w:rsidRPr="009A0817">
        <w:rPr>
          <w:rFonts w:asciiTheme="majorHAnsi" w:hAnsiTheme="majorHAnsi" w:cstheme="majorHAnsi"/>
          <w:sz w:val="22"/>
          <w:lang w:val="de-DE"/>
        </w:rPr>
        <w:t>Öffentliche Aussagen des Pilothändlers dürfen weder den Eindruck erwecken, die Beta-Version des digitalen Euro sei gesetzliches Zahlungsmittel</w:t>
      </w:r>
      <w:r>
        <w:rPr>
          <w:rFonts w:asciiTheme="majorHAnsi" w:hAnsiTheme="majorHAnsi" w:cstheme="majorHAnsi"/>
          <w:sz w:val="22"/>
          <w:lang w:val="de-DE"/>
        </w:rPr>
        <w:t xml:space="preserve"> oder ein digitaler Euro sei bereits eingeführt</w:t>
      </w:r>
      <w:r w:rsidRPr="009A0817">
        <w:rPr>
          <w:rFonts w:asciiTheme="majorHAnsi" w:hAnsiTheme="majorHAnsi" w:cstheme="majorHAnsi"/>
          <w:sz w:val="22"/>
          <w:lang w:val="de-DE"/>
        </w:rPr>
        <w:t>, noch dass eine endgültige Entscheidung über die Ausgabe oder Ausgestaltung eines digitalen Euro bereits getroffen wurde.</w:t>
      </w:r>
    </w:p>
    <w:p w14:paraId="13E1EBD4" w14:textId="77777777" w:rsidR="00EE5EF4" w:rsidRDefault="00EE5EF4">
      <w:pPr>
        <w:pStyle w:val="Clause"/>
        <w:numPr>
          <w:ilvl w:val="0"/>
          <w:numId w:val="37"/>
        </w:numPr>
        <w:rPr>
          <w:rFonts w:asciiTheme="majorHAnsi" w:hAnsiTheme="majorHAnsi" w:cstheme="majorHAnsi"/>
          <w:sz w:val="22"/>
          <w:lang w:val="de-DE"/>
        </w:rPr>
      </w:pPr>
      <w:r w:rsidRPr="009A0817">
        <w:rPr>
          <w:rFonts w:asciiTheme="majorHAnsi" w:hAnsiTheme="majorHAnsi" w:cstheme="majorHAnsi"/>
          <w:sz w:val="22"/>
          <w:lang w:val="de-DE"/>
        </w:rPr>
        <w:t>Die Bundesbank kann die Auswahl und Teilnahme des Pilothändlers im Rahmen ihrer sachlichen Pilotkommunikation öffentlich bekannt machen. Der Pilothändler wird hierüber vorab informiert.</w:t>
      </w:r>
    </w:p>
    <w:p w14:paraId="5D20EF2B" w14:textId="09A16292" w:rsidR="00EE5EF4" w:rsidRPr="009A0817" w:rsidRDefault="00EE5EF4">
      <w:pPr>
        <w:pStyle w:val="Clause"/>
        <w:numPr>
          <w:ilvl w:val="0"/>
          <w:numId w:val="37"/>
        </w:numPr>
        <w:rPr>
          <w:rFonts w:asciiTheme="majorHAnsi" w:hAnsiTheme="majorHAnsi" w:cstheme="majorHAnsi"/>
          <w:sz w:val="22"/>
          <w:lang w:val="de-DE"/>
        </w:rPr>
      </w:pPr>
      <w:r>
        <w:rPr>
          <w:rFonts w:asciiTheme="majorHAnsi" w:hAnsiTheme="majorHAnsi" w:cstheme="majorHAnsi"/>
          <w:sz w:val="22"/>
          <w:lang w:val="de-DE"/>
        </w:rPr>
        <w:t>Die Bundesbank unterstützt den Pilothändler bei Fragen zur Kommunikation über seine Pilotteilnahme.</w:t>
      </w:r>
    </w:p>
    <w:p w14:paraId="53842594"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lastRenderedPageBreak/>
        <w:t>§ 9 Datenschutz</w:t>
      </w:r>
    </w:p>
    <w:p w14:paraId="0FA27A42" w14:textId="77777777" w:rsidR="00EE5EF4" w:rsidRPr="009A0817" w:rsidRDefault="00EE5EF4">
      <w:pPr>
        <w:pStyle w:val="Clause"/>
        <w:numPr>
          <w:ilvl w:val="0"/>
          <w:numId w:val="36"/>
        </w:numPr>
        <w:rPr>
          <w:rFonts w:asciiTheme="majorHAnsi" w:hAnsiTheme="majorHAnsi" w:cstheme="majorHAnsi"/>
          <w:sz w:val="22"/>
          <w:lang w:val="de-DE"/>
        </w:rPr>
      </w:pPr>
      <w:r w:rsidRPr="009A0817">
        <w:rPr>
          <w:rFonts w:asciiTheme="majorHAnsi" w:hAnsiTheme="majorHAnsi" w:cstheme="majorHAnsi"/>
          <w:sz w:val="22"/>
          <w:lang w:val="de-DE"/>
        </w:rPr>
        <w:t>Die Parteien beachten bei der Verarbeitung personenbezogener Daten im Zusammenhang mit dieser Vereinbarung die Datenschutz-Grundverordnung (DSGVO), das Bundesdatenschutzgesetz und sonstige jeweils anwendbare datenschutzrechtliche Vorgaben.</w:t>
      </w:r>
    </w:p>
    <w:p w14:paraId="6738E122" w14:textId="77777777" w:rsidR="00EE5EF4" w:rsidRPr="009A0817" w:rsidRDefault="00EE5EF4">
      <w:pPr>
        <w:pStyle w:val="Clause"/>
        <w:numPr>
          <w:ilvl w:val="0"/>
          <w:numId w:val="36"/>
        </w:numPr>
        <w:rPr>
          <w:rFonts w:asciiTheme="majorHAnsi" w:hAnsiTheme="majorHAnsi" w:cstheme="majorHAnsi"/>
          <w:sz w:val="22"/>
          <w:lang w:val="de-DE"/>
        </w:rPr>
      </w:pPr>
      <w:r w:rsidRPr="009A0817">
        <w:rPr>
          <w:rFonts w:asciiTheme="majorHAnsi" w:hAnsiTheme="majorHAnsi" w:cstheme="majorHAnsi"/>
          <w:sz w:val="22"/>
          <w:lang w:val="de-DE"/>
        </w:rPr>
        <w:t>Soweit nicht ausdrücklich anders vereinbart, verarbeiten die Parteien personenbezogene Daten in eigener datenschutzrechtlicher Verantwortlichkeit.</w:t>
      </w:r>
    </w:p>
    <w:p w14:paraId="0C21C72C" w14:textId="77777777" w:rsidR="00EE5EF4" w:rsidRPr="009A0817" w:rsidRDefault="00EE5EF4">
      <w:pPr>
        <w:pStyle w:val="Clause"/>
        <w:numPr>
          <w:ilvl w:val="0"/>
          <w:numId w:val="36"/>
        </w:numPr>
        <w:rPr>
          <w:rFonts w:asciiTheme="majorHAnsi" w:hAnsiTheme="majorHAnsi" w:cstheme="majorHAnsi"/>
          <w:sz w:val="22"/>
          <w:lang w:val="de-DE"/>
        </w:rPr>
      </w:pPr>
      <w:r w:rsidRPr="009A0817">
        <w:rPr>
          <w:rFonts w:asciiTheme="majorHAnsi" w:hAnsiTheme="majorHAnsi" w:cstheme="majorHAnsi"/>
          <w:sz w:val="22"/>
          <w:lang w:val="de-DE"/>
        </w:rPr>
        <w:t>Der Pilothändler übermittelt der Bundesbank im Rahmen von Feedback und Reporting grundsätzlich nur aggregierte oder anonymisierte Daten. Personenbezogene Daten dürfen nur übermittelt werden, wenn hierfür eine geeignete Rechtsgrundlage besteht und die Betroffenen ordnungsgemäß informiert wurden.</w:t>
      </w:r>
    </w:p>
    <w:p w14:paraId="06E29318" w14:textId="77777777" w:rsidR="00EE5EF4" w:rsidRPr="009A0817" w:rsidRDefault="00EE5EF4" w:rsidP="00EE5EF4">
      <w:pPr>
        <w:pStyle w:val="Clause"/>
        <w:rPr>
          <w:rFonts w:asciiTheme="majorHAnsi" w:hAnsiTheme="majorHAnsi" w:cstheme="majorHAnsi"/>
          <w:sz w:val="22"/>
          <w:lang w:val="de-DE"/>
        </w:rPr>
      </w:pPr>
      <w:r w:rsidRPr="009A0817">
        <w:rPr>
          <w:rFonts w:asciiTheme="majorHAnsi" w:hAnsiTheme="majorHAnsi" w:cstheme="majorHAnsi"/>
          <w:sz w:val="22"/>
          <w:lang w:val="de-DE"/>
        </w:rPr>
        <w:t>4.</w:t>
      </w:r>
      <w:r w:rsidRPr="009A0817">
        <w:rPr>
          <w:rFonts w:asciiTheme="majorHAnsi" w:hAnsiTheme="majorHAnsi" w:cstheme="majorHAnsi"/>
          <w:sz w:val="22"/>
          <w:lang w:val="de-DE"/>
        </w:rPr>
        <w:tab/>
        <w:t>Soweit für einzelne Pilotaktivitäten eine abweichende Rollenverteilung, zusätzliche Datenschutzinformation oder gesonderte Vereinbarung erforderlich ist, wird diese vor Beginn der jeweiligen Verarbeitung festgelegt.</w:t>
      </w:r>
    </w:p>
    <w:p w14:paraId="3D31A45C"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10 Geistiges Eigentum und Feedback</w:t>
      </w:r>
    </w:p>
    <w:p w14:paraId="347B3072" w14:textId="29F07C88" w:rsidR="00EE5EF4" w:rsidRPr="009A0817" w:rsidRDefault="00EE5EF4">
      <w:pPr>
        <w:pStyle w:val="Clause"/>
        <w:numPr>
          <w:ilvl w:val="0"/>
          <w:numId w:val="35"/>
        </w:numPr>
        <w:rPr>
          <w:rFonts w:asciiTheme="majorHAnsi" w:hAnsiTheme="majorHAnsi" w:cstheme="majorHAnsi"/>
          <w:sz w:val="22"/>
          <w:lang w:val="de-DE"/>
        </w:rPr>
      </w:pPr>
      <w:r w:rsidRPr="009A0817">
        <w:rPr>
          <w:rFonts w:asciiTheme="majorHAnsi" w:hAnsiTheme="majorHAnsi" w:cstheme="majorHAnsi"/>
          <w:sz w:val="22"/>
          <w:lang w:val="de-DE"/>
        </w:rPr>
        <w:t xml:space="preserve">Soweit nicht ausdrücklich schriftlich anders vereinbart, verbleiben Rechte </w:t>
      </w:r>
      <w:r w:rsidR="00A7618F">
        <w:rPr>
          <w:rFonts w:asciiTheme="majorHAnsi" w:hAnsiTheme="majorHAnsi" w:cstheme="majorHAnsi"/>
          <w:sz w:val="22"/>
          <w:lang w:val="de-DE"/>
        </w:rPr>
        <w:t xml:space="preserve">des geistigen Eigentums, insbesondere Urheberrechte und verwandte Schutzrechte an sämtlichen </w:t>
      </w:r>
      <w:r w:rsidRPr="009A0817">
        <w:rPr>
          <w:rFonts w:asciiTheme="majorHAnsi" w:hAnsiTheme="majorHAnsi" w:cstheme="majorHAnsi"/>
          <w:sz w:val="22"/>
          <w:lang w:val="de-DE"/>
        </w:rPr>
        <w:t>Werken, Materialien, Daten, Inhalten oder sonstigen Ergebnissen</w:t>
      </w:r>
      <w:r w:rsidR="00A7618F">
        <w:rPr>
          <w:rFonts w:asciiTheme="majorHAnsi" w:hAnsiTheme="majorHAnsi" w:cstheme="majorHAnsi"/>
          <w:sz w:val="22"/>
          <w:lang w:val="de-DE"/>
        </w:rPr>
        <w:t xml:space="preserve">, </w:t>
      </w:r>
      <w:r w:rsidRPr="009A0817">
        <w:rPr>
          <w:rFonts w:asciiTheme="majorHAnsi" w:hAnsiTheme="majorHAnsi" w:cstheme="majorHAnsi"/>
          <w:sz w:val="22"/>
          <w:lang w:val="de-DE"/>
        </w:rPr>
        <w:t xml:space="preserve">die eine Partei im Zusammenhang mit dieser Vereinbarung </w:t>
      </w:r>
      <w:r w:rsidR="00A7618F">
        <w:rPr>
          <w:rFonts w:asciiTheme="majorHAnsi" w:hAnsiTheme="majorHAnsi" w:cstheme="majorHAnsi"/>
          <w:sz w:val="22"/>
          <w:lang w:val="de-DE"/>
        </w:rPr>
        <w:t>geschaffen, entwickelt oder erstellt hat (zusammen „Arbeitsergebnisse“)</w:t>
      </w:r>
      <w:r w:rsidRPr="009A0817">
        <w:rPr>
          <w:rFonts w:asciiTheme="majorHAnsi" w:hAnsiTheme="majorHAnsi" w:cstheme="majorHAnsi"/>
          <w:sz w:val="22"/>
          <w:lang w:val="de-DE"/>
        </w:rPr>
        <w:t xml:space="preserve">, </w:t>
      </w:r>
      <w:r w:rsidR="00A7618F" w:rsidRPr="00A7618F">
        <w:rPr>
          <w:rFonts w:asciiTheme="majorHAnsi" w:hAnsiTheme="majorHAnsi" w:cstheme="majorHAnsi"/>
          <w:sz w:val="22"/>
          <w:lang w:val="de-DE"/>
        </w:rPr>
        <w:t>bei derjenigen Partei, welche die jeweiligen Arbeitsergebnisse geschaffen oder erstellt hat.</w:t>
      </w:r>
    </w:p>
    <w:p w14:paraId="6269FC4C" w14:textId="75B53685" w:rsidR="00A7618F" w:rsidRDefault="00A7618F" w:rsidP="00A7618F">
      <w:pPr>
        <w:pStyle w:val="Clause"/>
        <w:numPr>
          <w:ilvl w:val="0"/>
          <w:numId w:val="35"/>
        </w:numPr>
        <w:rPr>
          <w:rFonts w:asciiTheme="majorHAnsi" w:hAnsiTheme="majorHAnsi" w:cstheme="majorHAnsi"/>
          <w:sz w:val="22"/>
          <w:lang w:val="de-DE"/>
        </w:rPr>
      </w:pPr>
      <w:r w:rsidRPr="00A7618F">
        <w:rPr>
          <w:rFonts w:asciiTheme="majorHAnsi" w:hAnsiTheme="majorHAnsi" w:cstheme="majorHAnsi"/>
          <w:sz w:val="22"/>
          <w:lang w:val="de-DE"/>
        </w:rPr>
        <w:t>Keine Bestimmung dieser Teilnahmevereinbarung ist als Übertragung von Rechten des geistigen Eigentums zwischen den Parteien auszulegen, sofern dies nicht ausdrücklich geregelt ist.</w:t>
      </w:r>
      <w:r>
        <w:rPr>
          <w:rFonts w:asciiTheme="majorHAnsi" w:hAnsiTheme="majorHAnsi" w:cstheme="majorHAnsi"/>
          <w:sz w:val="22"/>
          <w:lang w:val="de-DE"/>
        </w:rPr>
        <w:t xml:space="preserve"> Ungeachtet dessen kann d</w:t>
      </w:r>
      <w:r w:rsidR="00EE5EF4" w:rsidRPr="00A7618F">
        <w:rPr>
          <w:rFonts w:asciiTheme="majorHAnsi" w:hAnsiTheme="majorHAnsi" w:cstheme="majorHAnsi"/>
          <w:sz w:val="22"/>
          <w:lang w:val="de-DE"/>
        </w:rPr>
        <w:t xml:space="preserve">ie Bundesbank dem Pilothändler </w:t>
      </w:r>
      <w:r w:rsidRPr="00A7618F">
        <w:rPr>
          <w:rFonts w:asciiTheme="majorHAnsi" w:hAnsiTheme="majorHAnsi" w:cstheme="majorHAnsi"/>
          <w:sz w:val="22"/>
          <w:lang w:val="de-DE"/>
        </w:rPr>
        <w:t>hinsichtlich bestimmter Arbeitsergebnisse eine nicht ausschließliche, beschränkte Lizenz oder ein Nutzungsrecht einräumen, beispielsweise für Kommunikations-, Werbe- oder Informationszwecke. Umfang, Dauer und Zweck eines solchen Nutzungsrechts bedürfen zu ihrer Wirksamkeit einer ausdrücklichen schriftlichen Festlegung.</w:t>
      </w:r>
    </w:p>
    <w:p w14:paraId="5954C36E" w14:textId="7D1986DA" w:rsidR="00EE5EF4" w:rsidRPr="00A7618F" w:rsidRDefault="00EE5EF4" w:rsidP="00A7618F">
      <w:pPr>
        <w:pStyle w:val="Clause"/>
        <w:numPr>
          <w:ilvl w:val="0"/>
          <w:numId w:val="35"/>
        </w:numPr>
        <w:rPr>
          <w:rFonts w:asciiTheme="majorHAnsi" w:hAnsiTheme="majorHAnsi" w:cstheme="majorHAnsi"/>
          <w:sz w:val="22"/>
          <w:lang w:val="de-DE"/>
        </w:rPr>
      </w:pPr>
      <w:r>
        <w:rPr>
          <w:rFonts w:asciiTheme="majorHAnsi" w:hAnsiTheme="majorHAnsi" w:cstheme="majorHAnsi"/>
          <w:sz w:val="22"/>
          <w:lang w:val="de-DE"/>
        </w:rPr>
        <w:t xml:space="preserve">Mit der Bereitstellung von Pilotfeedback räumt der Pilothändler den Zentralbanken des Eurosystems ein </w:t>
      </w:r>
      <w:r w:rsidR="00A7618F" w:rsidRPr="00A7618F">
        <w:rPr>
          <w:rFonts w:asciiTheme="majorHAnsi" w:hAnsiTheme="majorHAnsi" w:cstheme="majorHAnsi"/>
          <w:sz w:val="22"/>
          <w:lang w:val="de-DE"/>
        </w:rPr>
        <w:t>zeitlich unbeschränktes, nicht ausschließliches, unentgeltliches, weltweites und unterlizenzierbares Recht ein, diese Rückmeldungen sowie sämtliche damit verbundenen Rechte des geistigen Eigentums für jeden rechtmäßigen Zweck zu nutzen, zu vervielfältigen, zu bearbeiten, zu verbreiten und in sonstiger Weise zu verwerten</w:t>
      </w:r>
      <w:r w:rsidR="00A7618F">
        <w:rPr>
          <w:rFonts w:asciiTheme="majorHAnsi" w:hAnsiTheme="majorHAnsi" w:cstheme="majorHAnsi"/>
          <w:sz w:val="22"/>
          <w:lang w:val="de-DE"/>
        </w:rPr>
        <w:t xml:space="preserve"> </w:t>
      </w:r>
      <w:r w:rsidRPr="00A7618F">
        <w:rPr>
          <w:rFonts w:asciiTheme="majorHAnsi" w:hAnsiTheme="majorHAnsi" w:cstheme="majorHAnsi"/>
          <w:sz w:val="22"/>
          <w:lang w:val="de-DE"/>
        </w:rPr>
        <w:t>und innerhalb des Eurosystems weiterzugeben sowie von den Zentralbanken des Eurosystems für diese Zwecke beauftragten und zur Vertraulichkeit verpflichteten Dienstleistern zugänglich zu machen. Rechte Dritter bleiben unberührt.</w:t>
      </w:r>
    </w:p>
    <w:p w14:paraId="23DA259C"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11 Einsatz von Unterauftragnehmern</w:t>
      </w:r>
    </w:p>
    <w:p w14:paraId="02E19290" w14:textId="04C5D292" w:rsidR="00EE5EF4" w:rsidRPr="009A0817" w:rsidRDefault="00EE5EF4">
      <w:pPr>
        <w:pStyle w:val="Clause"/>
        <w:numPr>
          <w:ilvl w:val="0"/>
          <w:numId w:val="34"/>
        </w:numPr>
        <w:rPr>
          <w:rFonts w:asciiTheme="majorHAnsi" w:hAnsiTheme="majorHAnsi" w:cstheme="majorHAnsi"/>
          <w:sz w:val="22"/>
          <w:lang w:val="de-DE"/>
        </w:rPr>
      </w:pPr>
      <w:r w:rsidRPr="009A0817">
        <w:rPr>
          <w:rFonts w:asciiTheme="majorHAnsi" w:hAnsiTheme="majorHAnsi" w:cstheme="majorHAnsi"/>
          <w:sz w:val="22"/>
          <w:lang w:val="de-DE"/>
        </w:rPr>
        <w:t>Der Pilothändler darf für die Erfüllung seiner Pflichten geeignete Dienstleister oder Unterauftragnehmer einsetzen, soweit dies mit den gesetzlichen, regulatorischen, sicherheitsbezogenen und betrieblichen Anforderungen des Pilot</w:t>
      </w:r>
      <w:r w:rsidR="00AE0072">
        <w:rPr>
          <w:rFonts w:asciiTheme="majorHAnsi" w:hAnsiTheme="majorHAnsi" w:cstheme="majorHAnsi"/>
          <w:sz w:val="22"/>
          <w:lang w:val="de-DE"/>
        </w:rPr>
        <w:t>betriebs</w:t>
      </w:r>
      <w:r w:rsidRPr="009A0817">
        <w:rPr>
          <w:rFonts w:asciiTheme="majorHAnsi" w:hAnsiTheme="majorHAnsi" w:cstheme="majorHAnsi"/>
          <w:sz w:val="22"/>
          <w:lang w:val="de-DE"/>
        </w:rPr>
        <w:t xml:space="preserve"> vereinbar ist.</w:t>
      </w:r>
    </w:p>
    <w:p w14:paraId="22C05D54" w14:textId="5DD946D0" w:rsidR="00EE5EF4" w:rsidRPr="009A0817" w:rsidRDefault="00EE5EF4">
      <w:pPr>
        <w:pStyle w:val="Clause"/>
        <w:numPr>
          <w:ilvl w:val="0"/>
          <w:numId w:val="34"/>
        </w:numPr>
        <w:rPr>
          <w:rFonts w:asciiTheme="majorHAnsi" w:hAnsiTheme="majorHAnsi" w:cstheme="majorHAnsi"/>
          <w:sz w:val="22"/>
          <w:lang w:val="de-DE"/>
        </w:rPr>
      </w:pPr>
      <w:r w:rsidRPr="009A0817">
        <w:rPr>
          <w:rFonts w:asciiTheme="majorHAnsi" w:hAnsiTheme="majorHAnsi" w:cstheme="majorHAnsi"/>
          <w:sz w:val="22"/>
          <w:lang w:val="de-DE"/>
        </w:rPr>
        <w:t xml:space="preserve">Der Pilothändler bleibt </w:t>
      </w:r>
      <w:r w:rsidR="00AE0072">
        <w:rPr>
          <w:rFonts w:asciiTheme="majorHAnsi" w:hAnsiTheme="majorHAnsi" w:cstheme="majorHAnsi"/>
          <w:sz w:val="22"/>
          <w:lang w:val="de-DE"/>
        </w:rPr>
        <w:t xml:space="preserve">ungeachtet einer Unterbeauftragung </w:t>
      </w:r>
      <w:r w:rsidRPr="009A0817">
        <w:rPr>
          <w:rFonts w:asciiTheme="majorHAnsi" w:hAnsiTheme="majorHAnsi" w:cstheme="majorHAnsi"/>
          <w:sz w:val="22"/>
          <w:lang w:val="de-DE"/>
        </w:rPr>
        <w:t>gegenüber der Bundesbank</w:t>
      </w:r>
      <w:r w:rsidR="00AE0072">
        <w:rPr>
          <w:rFonts w:asciiTheme="majorHAnsi" w:hAnsiTheme="majorHAnsi" w:cstheme="majorHAnsi"/>
          <w:sz w:val="22"/>
          <w:lang w:val="de-DE"/>
        </w:rPr>
        <w:t xml:space="preserve"> </w:t>
      </w:r>
      <w:r w:rsidRPr="009A0817">
        <w:rPr>
          <w:rFonts w:asciiTheme="majorHAnsi" w:hAnsiTheme="majorHAnsi" w:cstheme="majorHAnsi"/>
          <w:sz w:val="22"/>
          <w:lang w:val="de-DE"/>
        </w:rPr>
        <w:t xml:space="preserve">für die ordnungsgemäße Erfüllung seiner Pflichten </w:t>
      </w:r>
      <w:r w:rsidR="00AE0072">
        <w:rPr>
          <w:rFonts w:asciiTheme="majorHAnsi" w:hAnsiTheme="majorHAnsi" w:cstheme="majorHAnsi"/>
          <w:sz w:val="22"/>
          <w:lang w:val="de-DE"/>
        </w:rPr>
        <w:t xml:space="preserve">aus dieser Vereinbarung </w:t>
      </w:r>
      <w:r w:rsidRPr="009A0817">
        <w:rPr>
          <w:rFonts w:asciiTheme="majorHAnsi" w:hAnsiTheme="majorHAnsi" w:cstheme="majorHAnsi"/>
          <w:sz w:val="22"/>
          <w:lang w:val="de-DE"/>
        </w:rPr>
        <w:t>verantwortlich</w:t>
      </w:r>
      <w:r w:rsidR="00AE0072">
        <w:rPr>
          <w:rFonts w:asciiTheme="majorHAnsi" w:hAnsiTheme="majorHAnsi" w:cstheme="majorHAnsi"/>
          <w:sz w:val="22"/>
          <w:lang w:val="de-DE"/>
        </w:rPr>
        <w:t xml:space="preserve"> und haftbar</w:t>
      </w:r>
      <w:r w:rsidRPr="009A0817">
        <w:rPr>
          <w:rFonts w:asciiTheme="majorHAnsi" w:hAnsiTheme="majorHAnsi" w:cstheme="majorHAnsi"/>
          <w:sz w:val="22"/>
          <w:lang w:val="de-DE"/>
        </w:rPr>
        <w:t>, soweit die betreffende Leistung nicht dem Pilot-Acquirer oder einem anderen vom Eurosystem verantworteten Teilnehmer zuzurechnen ist.</w:t>
      </w:r>
      <w:r>
        <w:rPr>
          <w:rFonts w:asciiTheme="majorHAnsi" w:hAnsiTheme="majorHAnsi" w:cstheme="majorHAnsi"/>
          <w:sz w:val="22"/>
          <w:lang w:val="de-DE"/>
        </w:rPr>
        <w:t xml:space="preserve"> Die Verantwortung des Pilothändlers gegenüber Individuellen Endnutzern aus den mit ihnen geschlossenen Verträgen bleibt unberührt.</w:t>
      </w:r>
    </w:p>
    <w:p w14:paraId="48C93024" w14:textId="7535846C" w:rsidR="00EE5EF4" w:rsidRPr="005A12BA" w:rsidRDefault="00EE5EF4">
      <w:pPr>
        <w:pStyle w:val="Clause"/>
        <w:numPr>
          <w:ilvl w:val="0"/>
          <w:numId w:val="34"/>
        </w:numPr>
        <w:rPr>
          <w:rFonts w:asciiTheme="majorHAnsi" w:hAnsiTheme="majorHAnsi" w:cstheme="majorHAnsi"/>
          <w:sz w:val="22"/>
          <w:lang w:val="de-DE"/>
        </w:rPr>
      </w:pPr>
      <w:r w:rsidRPr="009A0817">
        <w:rPr>
          <w:rFonts w:asciiTheme="majorHAnsi" w:hAnsiTheme="majorHAnsi" w:cstheme="majorHAnsi"/>
          <w:sz w:val="22"/>
          <w:lang w:val="de-DE"/>
        </w:rPr>
        <w:lastRenderedPageBreak/>
        <w:t xml:space="preserve">Der </w:t>
      </w:r>
      <w:r w:rsidRPr="005A12BA">
        <w:rPr>
          <w:rFonts w:asciiTheme="majorHAnsi" w:hAnsiTheme="majorHAnsi" w:cstheme="majorHAnsi"/>
          <w:sz w:val="22"/>
          <w:lang w:val="de-DE"/>
        </w:rPr>
        <w:t xml:space="preserve">Einsatz von Unterauftragnehmern </w:t>
      </w:r>
      <w:r w:rsidR="00AE0072">
        <w:rPr>
          <w:rFonts w:asciiTheme="majorHAnsi" w:hAnsiTheme="majorHAnsi" w:cstheme="majorHAnsi"/>
          <w:sz w:val="22"/>
          <w:lang w:val="de-DE"/>
        </w:rPr>
        <w:t xml:space="preserve">muss den Zielen des Pilotbetriebs entsprechen und </w:t>
      </w:r>
      <w:r w:rsidRPr="005A12BA">
        <w:rPr>
          <w:rFonts w:asciiTheme="majorHAnsi" w:hAnsiTheme="majorHAnsi" w:cstheme="majorHAnsi"/>
          <w:sz w:val="22"/>
          <w:lang w:val="de-DE"/>
        </w:rPr>
        <w:t xml:space="preserve">darf Integrität, Sicherheit, Vertraulichkeit oder Funktionsfähigkeit </w:t>
      </w:r>
      <w:r w:rsidR="00AE0072">
        <w:rPr>
          <w:rFonts w:asciiTheme="majorHAnsi" w:hAnsiTheme="majorHAnsi" w:cstheme="majorHAnsi"/>
          <w:sz w:val="22"/>
          <w:lang w:val="de-DE"/>
        </w:rPr>
        <w:t xml:space="preserve">der Aktivitäten im Rahmen </w:t>
      </w:r>
      <w:r w:rsidRPr="005A12BA">
        <w:rPr>
          <w:rFonts w:asciiTheme="majorHAnsi" w:hAnsiTheme="majorHAnsi" w:cstheme="majorHAnsi"/>
          <w:sz w:val="22"/>
          <w:lang w:val="de-DE"/>
        </w:rPr>
        <w:t xml:space="preserve">des Pilotbetriebs nicht beeinträchtigen. </w:t>
      </w:r>
      <w:r>
        <w:rPr>
          <w:rFonts w:asciiTheme="majorHAnsi" w:hAnsiTheme="majorHAnsi" w:cstheme="majorHAnsi"/>
          <w:sz w:val="22"/>
          <w:lang w:val="de-DE"/>
        </w:rPr>
        <w:t>Unterauftragnehmer, die den Pilotstandort betreten oder Zugang zu Vertraulichen Informationen erhalten sollen, benennt der Pilothändler der Bundesbank vor ihrem Einsatz in Textform. Die Bundesbank kann ihrem Einsatz innerhalb von vierzehn (14) Kalendertagen nach Zugang der Benennung aus wichtigem Grund, insbesondere aus Sicherheitsgründen, widersprechen; Anhang D Nummer 3 bleibt unberührt.</w:t>
      </w:r>
    </w:p>
    <w:p w14:paraId="6948B0A3" w14:textId="77777777" w:rsidR="00EE5EF4" w:rsidRPr="005A12BA" w:rsidRDefault="00EE5EF4" w:rsidP="00EE5EF4">
      <w:pPr>
        <w:pStyle w:val="berschrift1"/>
        <w:numPr>
          <w:ilvl w:val="0"/>
          <w:numId w:val="0"/>
        </w:numPr>
        <w:ind w:left="1134" w:hanging="1134"/>
        <w:rPr>
          <w:rFonts w:cstheme="majorHAnsi"/>
          <w:sz w:val="22"/>
          <w:szCs w:val="22"/>
        </w:rPr>
      </w:pPr>
      <w:r w:rsidRPr="005A12BA">
        <w:rPr>
          <w:rFonts w:cstheme="majorHAnsi"/>
          <w:sz w:val="22"/>
          <w:szCs w:val="22"/>
        </w:rPr>
        <w:t>§ 12 Vertraulichkeit</w:t>
      </w:r>
    </w:p>
    <w:p w14:paraId="24AD5C12" w14:textId="05246E2E" w:rsidR="00EE5EF4" w:rsidRPr="005A12BA" w:rsidRDefault="00EE5EF4">
      <w:pPr>
        <w:pStyle w:val="Clause"/>
        <w:numPr>
          <w:ilvl w:val="0"/>
          <w:numId w:val="33"/>
        </w:numPr>
        <w:rPr>
          <w:rFonts w:asciiTheme="majorHAnsi" w:hAnsiTheme="majorHAnsi" w:cstheme="majorHAnsi"/>
          <w:sz w:val="22"/>
          <w:lang w:val="de-DE"/>
        </w:rPr>
      </w:pPr>
      <w:r w:rsidRPr="005A12BA">
        <w:rPr>
          <w:rFonts w:asciiTheme="majorHAnsi" w:hAnsiTheme="majorHAnsi" w:cstheme="majorHAnsi"/>
          <w:sz w:val="22"/>
          <w:lang w:val="de-DE"/>
        </w:rPr>
        <w:t xml:space="preserve">Jede Partei behandelt Vertrauliche Informationen der anderen Partei vertraulich und gibt sie ohne </w:t>
      </w:r>
      <w:r w:rsidR="00AE0072">
        <w:rPr>
          <w:rFonts w:asciiTheme="majorHAnsi" w:hAnsiTheme="majorHAnsi" w:cstheme="majorHAnsi"/>
          <w:sz w:val="22"/>
          <w:lang w:val="de-DE"/>
        </w:rPr>
        <w:t>ausdrückliche</w:t>
      </w:r>
      <w:r w:rsidR="00AE0072" w:rsidRPr="005A12BA">
        <w:rPr>
          <w:rFonts w:asciiTheme="majorHAnsi" w:hAnsiTheme="majorHAnsi" w:cstheme="majorHAnsi"/>
          <w:sz w:val="22"/>
          <w:lang w:val="de-DE"/>
        </w:rPr>
        <w:t xml:space="preserve"> </w:t>
      </w:r>
      <w:r w:rsidRPr="005A12BA">
        <w:rPr>
          <w:rFonts w:asciiTheme="majorHAnsi" w:hAnsiTheme="majorHAnsi" w:cstheme="majorHAnsi"/>
          <w:sz w:val="22"/>
          <w:lang w:val="de-DE"/>
        </w:rPr>
        <w:t xml:space="preserve">vorherige </w:t>
      </w:r>
      <w:r w:rsidR="00AE0072">
        <w:rPr>
          <w:rFonts w:asciiTheme="majorHAnsi" w:hAnsiTheme="majorHAnsi" w:cstheme="majorHAnsi"/>
          <w:sz w:val="22"/>
          <w:lang w:val="de-DE"/>
        </w:rPr>
        <w:t xml:space="preserve">schriftliche </w:t>
      </w:r>
      <w:r w:rsidRPr="005A12BA">
        <w:rPr>
          <w:rFonts w:asciiTheme="majorHAnsi" w:hAnsiTheme="majorHAnsi" w:cstheme="majorHAnsi"/>
          <w:sz w:val="22"/>
          <w:lang w:val="de-DE"/>
        </w:rPr>
        <w:t>Zustimmung nicht an Dritte weiter.</w:t>
      </w:r>
    </w:p>
    <w:p w14:paraId="29B1E5DF" w14:textId="5178CE8F" w:rsidR="00EE5EF4" w:rsidRPr="005A12BA" w:rsidRDefault="00AE0072">
      <w:pPr>
        <w:pStyle w:val="Clause"/>
        <w:numPr>
          <w:ilvl w:val="0"/>
          <w:numId w:val="33"/>
        </w:numPr>
        <w:rPr>
          <w:rFonts w:asciiTheme="majorHAnsi" w:hAnsiTheme="majorHAnsi" w:cstheme="majorHAnsi"/>
          <w:sz w:val="22"/>
          <w:lang w:val="de-DE"/>
        </w:rPr>
      </w:pPr>
      <w:r>
        <w:rPr>
          <w:rFonts w:asciiTheme="majorHAnsi" w:hAnsiTheme="majorHAnsi" w:cstheme="majorHAnsi"/>
          <w:sz w:val="22"/>
          <w:lang w:val="de-DE"/>
        </w:rPr>
        <w:t>Abweichend von Absatz 1 darf d</w:t>
      </w:r>
      <w:r w:rsidR="00EE5EF4" w:rsidRPr="005A12BA">
        <w:rPr>
          <w:rFonts w:asciiTheme="majorHAnsi" w:hAnsiTheme="majorHAnsi" w:cstheme="majorHAnsi"/>
          <w:sz w:val="22"/>
          <w:lang w:val="de-DE"/>
        </w:rPr>
        <w:t>ie Bundesbank pilotbezogene Vertrauliche Informationen an andere Zentralbanken des Eurosystems sowie an am Pilot</w:t>
      </w:r>
      <w:r w:rsidR="00EE5EF4">
        <w:rPr>
          <w:rFonts w:asciiTheme="majorHAnsi" w:hAnsiTheme="majorHAnsi" w:cstheme="majorHAnsi"/>
          <w:sz w:val="22"/>
          <w:lang w:val="de-DE"/>
        </w:rPr>
        <w:t>betrieb</w:t>
      </w:r>
      <w:r w:rsidR="00EE5EF4" w:rsidRPr="005A12BA">
        <w:rPr>
          <w:rFonts w:asciiTheme="majorHAnsi" w:hAnsiTheme="majorHAnsi" w:cstheme="majorHAnsi"/>
          <w:sz w:val="22"/>
          <w:lang w:val="de-DE"/>
        </w:rPr>
        <w:t xml:space="preserve"> beteiligte Stellen</w:t>
      </w:r>
      <w:r>
        <w:rPr>
          <w:rFonts w:asciiTheme="majorHAnsi" w:hAnsiTheme="majorHAnsi" w:cstheme="majorHAnsi"/>
          <w:sz w:val="22"/>
          <w:lang w:val="de-DE"/>
        </w:rPr>
        <w:t xml:space="preserve"> und Teilnehmern</w:t>
      </w:r>
      <w:r w:rsidR="00EE5EF4" w:rsidRPr="005A12BA">
        <w:rPr>
          <w:rFonts w:asciiTheme="majorHAnsi" w:hAnsiTheme="majorHAnsi" w:cstheme="majorHAnsi"/>
          <w:sz w:val="22"/>
          <w:lang w:val="de-DE"/>
        </w:rPr>
        <w:t xml:space="preserve"> weitergeben</w:t>
      </w:r>
      <w:r>
        <w:rPr>
          <w:rFonts w:asciiTheme="majorHAnsi" w:hAnsiTheme="majorHAnsi" w:cstheme="majorHAnsi"/>
          <w:sz w:val="22"/>
          <w:lang w:val="de-DE"/>
        </w:rPr>
        <w:t xml:space="preserve"> und offenlegen</w:t>
      </w:r>
      <w:r w:rsidR="00EE5EF4" w:rsidRPr="005A12BA">
        <w:rPr>
          <w:rFonts w:asciiTheme="majorHAnsi" w:hAnsiTheme="majorHAnsi" w:cstheme="majorHAnsi"/>
          <w:sz w:val="22"/>
          <w:lang w:val="de-DE"/>
        </w:rPr>
        <w:t>, soweit dies für Planung, Durchführung, Sicherheit, Auswertung</w:t>
      </w:r>
      <w:r>
        <w:rPr>
          <w:rFonts w:asciiTheme="majorHAnsi" w:hAnsiTheme="majorHAnsi" w:cstheme="majorHAnsi"/>
          <w:sz w:val="22"/>
          <w:lang w:val="de-DE"/>
        </w:rPr>
        <w:t>, Offenlegung</w:t>
      </w:r>
      <w:r w:rsidR="00EE5EF4" w:rsidRPr="005A12BA">
        <w:rPr>
          <w:rFonts w:asciiTheme="majorHAnsi" w:hAnsiTheme="majorHAnsi" w:cstheme="majorHAnsi"/>
          <w:sz w:val="22"/>
          <w:lang w:val="de-DE"/>
        </w:rPr>
        <w:t xml:space="preserve"> oder Steuerung des Pilot</w:t>
      </w:r>
      <w:r>
        <w:rPr>
          <w:rFonts w:asciiTheme="majorHAnsi" w:hAnsiTheme="majorHAnsi" w:cstheme="majorHAnsi"/>
          <w:sz w:val="22"/>
          <w:lang w:val="de-DE"/>
        </w:rPr>
        <w:t>betriebs</w:t>
      </w:r>
      <w:r w:rsidR="00EE5EF4" w:rsidRPr="005A12BA">
        <w:rPr>
          <w:rFonts w:asciiTheme="majorHAnsi" w:hAnsiTheme="majorHAnsi" w:cstheme="majorHAnsi"/>
          <w:sz w:val="22"/>
          <w:lang w:val="de-DE"/>
        </w:rPr>
        <w:t xml:space="preserve"> erforderlich ist und angemessene Vertraulichkeitsanforderungen bestehen.</w:t>
      </w:r>
    </w:p>
    <w:p w14:paraId="28CC72DB" w14:textId="0B4E07AA" w:rsidR="00EE5EF4" w:rsidRPr="00531D0A" w:rsidRDefault="00EE5EF4" w:rsidP="00531D0A">
      <w:pPr>
        <w:pStyle w:val="Clause"/>
        <w:numPr>
          <w:ilvl w:val="0"/>
          <w:numId w:val="33"/>
        </w:numPr>
        <w:rPr>
          <w:rFonts w:asciiTheme="majorHAnsi" w:hAnsiTheme="majorHAnsi" w:cstheme="majorHAnsi"/>
          <w:sz w:val="22"/>
          <w:lang w:val="de-DE"/>
        </w:rPr>
      </w:pPr>
      <w:r w:rsidRPr="009A0817">
        <w:rPr>
          <w:rFonts w:asciiTheme="majorHAnsi" w:hAnsiTheme="majorHAnsi" w:cstheme="majorHAnsi"/>
          <w:sz w:val="22"/>
          <w:lang w:val="de-DE"/>
        </w:rPr>
        <w:t xml:space="preserve">Zugang zu Vertraulichen Informationen ist auf </w:t>
      </w:r>
      <w:r w:rsidR="00AE0072">
        <w:rPr>
          <w:rFonts w:asciiTheme="majorHAnsi" w:hAnsiTheme="majorHAnsi" w:cstheme="majorHAnsi"/>
          <w:sz w:val="22"/>
          <w:lang w:val="de-DE"/>
        </w:rPr>
        <w:t xml:space="preserve">die jeweils zuständigen </w:t>
      </w:r>
      <w:r w:rsidRPr="009A0817">
        <w:rPr>
          <w:rFonts w:asciiTheme="majorHAnsi" w:hAnsiTheme="majorHAnsi" w:cstheme="majorHAnsi"/>
          <w:sz w:val="22"/>
          <w:lang w:val="de-DE"/>
        </w:rPr>
        <w:t>Personen</w:t>
      </w:r>
      <w:r w:rsidR="00531D0A">
        <w:rPr>
          <w:rFonts w:asciiTheme="majorHAnsi" w:hAnsiTheme="majorHAnsi" w:cstheme="majorHAnsi"/>
          <w:sz w:val="22"/>
          <w:lang w:val="de-DE"/>
        </w:rPr>
        <w:t xml:space="preserve"> bzw. Mitarbeitende</w:t>
      </w:r>
      <w:r w:rsidRPr="009A0817">
        <w:rPr>
          <w:rFonts w:asciiTheme="majorHAnsi" w:hAnsiTheme="majorHAnsi" w:cstheme="majorHAnsi"/>
          <w:sz w:val="22"/>
          <w:lang w:val="de-DE"/>
        </w:rPr>
        <w:t xml:space="preserve"> zu beschränken, die diese für die Durchführung des Pilot</w:t>
      </w:r>
      <w:r w:rsidR="00AE0072">
        <w:rPr>
          <w:rFonts w:asciiTheme="majorHAnsi" w:hAnsiTheme="majorHAnsi" w:cstheme="majorHAnsi"/>
          <w:sz w:val="22"/>
          <w:lang w:val="de-DE"/>
        </w:rPr>
        <w:t>betriebs</w:t>
      </w:r>
      <w:r w:rsidRPr="009A0817">
        <w:rPr>
          <w:rFonts w:asciiTheme="majorHAnsi" w:hAnsiTheme="majorHAnsi" w:cstheme="majorHAnsi"/>
          <w:sz w:val="22"/>
          <w:lang w:val="de-DE"/>
        </w:rPr>
        <w:t xml:space="preserve"> benötigen. </w:t>
      </w:r>
      <w:r w:rsidR="00531D0A" w:rsidRPr="00531D0A">
        <w:rPr>
          <w:rFonts w:asciiTheme="majorHAnsi" w:hAnsiTheme="majorHAnsi" w:cstheme="majorHAnsi"/>
          <w:sz w:val="22"/>
          <w:lang w:val="de-DE"/>
        </w:rPr>
        <w:t>Ein solcher Zugang darf nur gewährt werden, soweit hierfür ein konkreter betrieblicher Bedarf besteht. Der Pilot</w:t>
      </w:r>
      <w:r w:rsidR="00531D0A">
        <w:rPr>
          <w:rFonts w:asciiTheme="majorHAnsi" w:hAnsiTheme="majorHAnsi" w:cstheme="majorHAnsi"/>
          <w:sz w:val="22"/>
          <w:lang w:val="de-DE"/>
        </w:rPr>
        <w:t>h</w:t>
      </w:r>
      <w:r w:rsidR="00531D0A" w:rsidRPr="00531D0A">
        <w:rPr>
          <w:rFonts w:asciiTheme="majorHAnsi" w:hAnsiTheme="majorHAnsi" w:cstheme="majorHAnsi"/>
          <w:sz w:val="22"/>
          <w:lang w:val="de-DE"/>
        </w:rPr>
        <w:t xml:space="preserve">ändler trifft angemessene technische und organisatorische Maßnahmen, um den Zugriff auf Vertrauliche Informationen durch andere Personen als die berechtigten </w:t>
      </w:r>
      <w:r w:rsidR="00531D0A">
        <w:rPr>
          <w:rFonts w:asciiTheme="majorHAnsi" w:hAnsiTheme="majorHAnsi" w:cstheme="majorHAnsi"/>
          <w:sz w:val="22"/>
          <w:lang w:val="de-DE"/>
        </w:rPr>
        <w:t xml:space="preserve">und zuständigen Personen </w:t>
      </w:r>
      <w:r w:rsidR="00531D0A" w:rsidRPr="00531D0A">
        <w:rPr>
          <w:rFonts w:asciiTheme="majorHAnsi" w:hAnsiTheme="majorHAnsi" w:cstheme="majorHAnsi"/>
          <w:sz w:val="22"/>
          <w:lang w:val="de-DE"/>
        </w:rPr>
        <w:t>zu verhindern.</w:t>
      </w:r>
      <w:r w:rsidR="00531D0A">
        <w:rPr>
          <w:rFonts w:asciiTheme="majorHAnsi" w:hAnsiTheme="majorHAnsi" w:cstheme="majorHAnsi"/>
          <w:sz w:val="22"/>
          <w:lang w:val="de-DE"/>
        </w:rPr>
        <w:t xml:space="preserve"> </w:t>
      </w:r>
      <w:r w:rsidRPr="00531D0A">
        <w:rPr>
          <w:rFonts w:asciiTheme="majorHAnsi" w:hAnsiTheme="majorHAnsi" w:cstheme="majorHAnsi"/>
          <w:sz w:val="22"/>
          <w:lang w:val="de-DE"/>
        </w:rPr>
        <w:t>Der Pilothändler stellt sicher, dass Beschäftigte, Beauftragte und Unterauftragnehmer (§ 11) entsprechend den Vertraulichkeitspflichten dieser Vereinbarung verpflichtet sind</w:t>
      </w:r>
      <w:r w:rsidR="00531D0A" w:rsidRPr="00531D0A">
        <w:rPr>
          <w:rFonts w:asciiTheme="majorHAnsi" w:hAnsiTheme="majorHAnsi" w:cstheme="majorHAnsi"/>
          <w:sz w:val="22"/>
          <w:lang w:val="de-DE"/>
        </w:rPr>
        <w:t>, und diese vollständig verstehen und einhalten</w:t>
      </w:r>
      <w:r w:rsidRPr="00531D0A">
        <w:rPr>
          <w:rFonts w:asciiTheme="majorHAnsi" w:hAnsiTheme="majorHAnsi" w:cstheme="majorHAnsi"/>
          <w:sz w:val="22"/>
          <w:lang w:val="de-DE"/>
        </w:rPr>
        <w:t>.</w:t>
      </w:r>
    </w:p>
    <w:p w14:paraId="465F030A" w14:textId="3E816698" w:rsidR="00EE5EF4" w:rsidRPr="009A0817" w:rsidRDefault="00EE5EF4">
      <w:pPr>
        <w:pStyle w:val="Clause"/>
        <w:numPr>
          <w:ilvl w:val="0"/>
          <w:numId w:val="33"/>
        </w:numPr>
        <w:rPr>
          <w:rFonts w:asciiTheme="majorHAnsi" w:hAnsiTheme="majorHAnsi" w:cstheme="majorHAnsi"/>
          <w:sz w:val="22"/>
          <w:lang w:val="de-DE"/>
        </w:rPr>
      </w:pPr>
      <w:r w:rsidRPr="001A0FB1">
        <w:rPr>
          <w:rFonts w:asciiTheme="majorHAnsi" w:hAnsiTheme="majorHAnsi" w:cstheme="majorHAnsi"/>
          <w:sz w:val="22"/>
          <w:lang w:val="de-DE"/>
        </w:rPr>
        <w:t xml:space="preserve">Die Vertraulichkeitspflicht gilt nicht, soweit eine Offenlegung aufgrund zwingenden Rechts, </w:t>
      </w:r>
      <w:r>
        <w:rPr>
          <w:rFonts w:asciiTheme="majorHAnsi" w:hAnsiTheme="majorHAnsi" w:cstheme="majorHAnsi"/>
          <w:sz w:val="22"/>
          <w:lang w:val="de-DE"/>
        </w:rPr>
        <w:t>behördlicher</w:t>
      </w:r>
      <w:r w:rsidRPr="001A0FB1">
        <w:rPr>
          <w:rFonts w:asciiTheme="majorHAnsi" w:hAnsiTheme="majorHAnsi" w:cstheme="majorHAnsi"/>
          <w:sz w:val="22"/>
          <w:lang w:val="de-DE"/>
        </w:rPr>
        <w:t xml:space="preserve"> oder gerichtlicher Anordnun</w:t>
      </w:r>
      <w:r w:rsidR="00531D0A">
        <w:rPr>
          <w:rFonts w:asciiTheme="majorHAnsi" w:hAnsiTheme="majorHAnsi" w:cstheme="majorHAnsi"/>
          <w:sz w:val="22"/>
          <w:lang w:val="de-DE"/>
        </w:rPr>
        <w:t xml:space="preserve">g, anwendbarerer gesetzlicher Vorschriften </w:t>
      </w:r>
      <w:r w:rsidRPr="001A0FB1">
        <w:rPr>
          <w:rFonts w:asciiTheme="majorHAnsi" w:hAnsiTheme="majorHAnsi" w:cstheme="majorHAnsi"/>
          <w:sz w:val="22"/>
          <w:lang w:val="de-DE"/>
        </w:rPr>
        <w:t>oder zur Wahrung berechtigter Interessen einer Partei in einem Gerichts-, Schieds- oder vergleichbaren Verfahren erforderlich ist. Soweit rechtlich zulässig, ist die andere Partei vorab zu informieren.</w:t>
      </w:r>
    </w:p>
    <w:p w14:paraId="46047B69" w14:textId="26CB04C3" w:rsidR="00EE5EF4" w:rsidRDefault="00EE5EF4">
      <w:pPr>
        <w:pStyle w:val="Clause"/>
        <w:numPr>
          <w:ilvl w:val="0"/>
          <w:numId w:val="33"/>
        </w:numPr>
        <w:rPr>
          <w:rFonts w:asciiTheme="majorHAnsi" w:hAnsiTheme="majorHAnsi" w:cstheme="majorHAnsi"/>
          <w:sz w:val="22"/>
          <w:lang w:val="de-DE"/>
        </w:rPr>
      </w:pPr>
      <w:r w:rsidRPr="009A0817">
        <w:rPr>
          <w:rFonts w:asciiTheme="majorHAnsi" w:hAnsiTheme="majorHAnsi" w:cstheme="majorHAnsi"/>
          <w:sz w:val="22"/>
          <w:lang w:val="de-DE"/>
        </w:rPr>
        <w:t>Die Vertraulichkeits</w:t>
      </w:r>
      <w:r w:rsidR="00531D0A">
        <w:rPr>
          <w:rFonts w:asciiTheme="majorHAnsi" w:hAnsiTheme="majorHAnsi" w:cstheme="majorHAnsi"/>
          <w:sz w:val="22"/>
          <w:lang w:val="de-DE"/>
        </w:rPr>
        <w:t>ver</w:t>
      </w:r>
      <w:r w:rsidRPr="009A0817">
        <w:rPr>
          <w:rFonts w:asciiTheme="majorHAnsi" w:hAnsiTheme="majorHAnsi" w:cstheme="majorHAnsi"/>
          <w:sz w:val="22"/>
          <w:lang w:val="de-DE"/>
        </w:rPr>
        <w:t>pflicht</w:t>
      </w:r>
      <w:r w:rsidR="00531D0A">
        <w:rPr>
          <w:rFonts w:asciiTheme="majorHAnsi" w:hAnsiTheme="majorHAnsi" w:cstheme="majorHAnsi"/>
          <w:sz w:val="22"/>
          <w:lang w:val="de-DE"/>
        </w:rPr>
        <w:t>ung</w:t>
      </w:r>
      <w:r w:rsidRPr="009A0817">
        <w:rPr>
          <w:rFonts w:asciiTheme="majorHAnsi" w:hAnsiTheme="majorHAnsi" w:cstheme="majorHAnsi"/>
          <w:sz w:val="22"/>
          <w:lang w:val="de-DE"/>
        </w:rPr>
        <w:t xml:space="preserve">en </w:t>
      </w:r>
      <w:r w:rsidR="00531D0A">
        <w:rPr>
          <w:rFonts w:asciiTheme="majorHAnsi" w:hAnsiTheme="majorHAnsi" w:cstheme="majorHAnsi"/>
          <w:sz w:val="22"/>
          <w:lang w:val="de-DE"/>
        </w:rPr>
        <w:t xml:space="preserve">nach diesem Artikel </w:t>
      </w:r>
      <w:r w:rsidRPr="009A0817">
        <w:rPr>
          <w:rFonts w:asciiTheme="majorHAnsi" w:hAnsiTheme="majorHAnsi" w:cstheme="majorHAnsi"/>
          <w:sz w:val="22"/>
          <w:lang w:val="de-DE"/>
        </w:rPr>
        <w:t xml:space="preserve">gelten </w:t>
      </w:r>
      <w:r w:rsidR="00531D0A">
        <w:rPr>
          <w:rFonts w:asciiTheme="majorHAnsi" w:hAnsiTheme="majorHAnsi" w:cstheme="majorHAnsi"/>
          <w:sz w:val="22"/>
          <w:lang w:val="de-DE"/>
        </w:rPr>
        <w:t xml:space="preserve">für einen Zeitraum von </w:t>
      </w:r>
      <w:r w:rsidRPr="009A0817">
        <w:rPr>
          <w:rFonts w:asciiTheme="majorHAnsi" w:hAnsiTheme="majorHAnsi" w:cstheme="majorHAnsi"/>
          <w:sz w:val="22"/>
          <w:lang w:val="de-DE"/>
        </w:rPr>
        <w:t xml:space="preserve">fünf (5) Jahre nach Beendigung </w:t>
      </w:r>
      <w:r w:rsidR="00531D0A">
        <w:rPr>
          <w:rFonts w:asciiTheme="majorHAnsi" w:hAnsiTheme="majorHAnsi" w:cstheme="majorHAnsi"/>
          <w:sz w:val="22"/>
          <w:lang w:val="de-DE"/>
        </w:rPr>
        <w:t xml:space="preserve">oder Ablauf </w:t>
      </w:r>
      <w:r w:rsidRPr="009A0817">
        <w:rPr>
          <w:rFonts w:asciiTheme="majorHAnsi" w:hAnsiTheme="majorHAnsi" w:cstheme="majorHAnsi"/>
          <w:sz w:val="22"/>
          <w:lang w:val="de-DE"/>
        </w:rPr>
        <w:t>dieser Vereinbarung fort oder bis die jeweiligen Informationen rechtmäßig öffentlich bekannt geworden sind, sofern dies früher eintritt.</w:t>
      </w:r>
    </w:p>
    <w:p w14:paraId="37C8A160" w14:textId="67A78510" w:rsidR="00531D0A" w:rsidRPr="00531D0A" w:rsidRDefault="00531D0A" w:rsidP="00531D0A">
      <w:pPr>
        <w:pStyle w:val="Clause"/>
        <w:numPr>
          <w:ilvl w:val="0"/>
          <w:numId w:val="33"/>
        </w:numPr>
        <w:rPr>
          <w:rFonts w:asciiTheme="majorHAnsi" w:hAnsiTheme="majorHAnsi" w:cstheme="majorHAnsi"/>
          <w:sz w:val="22"/>
          <w:lang w:val="de-DE"/>
        </w:rPr>
      </w:pPr>
      <w:r w:rsidRPr="00531D0A">
        <w:rPr>
          <w:rFonts w:asciiTheme="majorHAnsi" w:hAnsiTheme="majorHAnsi" w:cstheme="majorHAnsi"/>
          <w:sz w:val="22"/>
          <w:lang w:val="de-DE"/>
        </w:rPr>
        <w:t>Nach Beendigung dieser Teilnahmevereinbarung darf der Pilot</w:t>
      </w:r>
      <w:r>
        <w:rPr>
          <w:rFonts w:asciiTheme="majorHAnsi" w:hAnsiTheme="majorHAnsi" w:cstheme="majorHAnsi"/>
          <w:sz w:val="22"/>
          <w:lang w:val="de-DE"/>
        </w:rPr>
        <w:t>h</w:t>
      </w:r>
      <w:r w:rsidRPr="00531D0A">
        <w:rPr>
          <w:rFonts w:asciiTheme="majorHAnsi" w:hAnsiTheme="majorHAnsi" w:cstheme="majorHAnsi"/>
          <w:sz w:val="22"/>
          <w:lang w:val="de-DE"/>
        </w:rPr>
        <w:t>ändler Kopien von Vertraulichen Informationen, die er im Zusammenhang mit dieser Teilnahmevereinbarung erstellt oder erhalten hat, unabhängig von der Form nur insoweit aufbewahren, wie dies zur Erfüllung gesetzlicher Aufbewahrungs- und Nachweispflichten, einschließlich Prüfungspflichten, erforderlich ist. Eine Nutzung dieser Kopien zu anderen Zwecken ist unzulässig.</w:t>
      </w:r>
    </w:p>
    <w:p w14:paraId="408D4161" w14:textId="7DF7B598" w:rsidR="00531D0A" w:rsidRPr="00531D0A" w:rsidRDefault="00531D0A" w:rsidP="00531D0A">
      <w:pPr>
        <w:pStyle w:val="Clause"/>
        <w:ind w:left="360" w:firstLine="0"/>
        <w:rPr>
          <w:rFonts w:asciiTheme="majorHAnsi" w:hAnsiTheme="majorHAnsi" w:cstheme="majorHAnsi"/>
          <w:sz w:val="22"/>
          <w:lang w:val="de-DE"/>
        </w:rPr>
      </w:pPr>
      <w:r w:rsidRPr="00531D0A">
        <w:rPr>
          <w:rFonts w:asciiTheme="majorHAnsi" w:hAnsiTheme="majorHAnsi" w:cstheme="majorHAnsi"/>
          <w:sz w:val="22"/>
          <w:lang w:val="de-DE"/>
        </w:rPr>
        <w:t>Ungeachtet des Vorstehenden hat der Pilot-Händler sämtliche im Eigentum der Zentralbanken des Eurosystems stehenden Vertraulichen Informationen innerhalb von zehn (10) Arbeitstagen nach Beendigung dieser Teilnahmevereinbarung zu löschen.</w:t>
      </w:r>
    </w:p>
    <w:p w14:paraId="41C994EA"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13 Mitteilungen und Ansprechpartner</w:t>
      </w:r>
    </w:p>
    <w:p w14:paraId="6D62B391" w14:textId="4CEEA5ED" w:rsidR="00EE5EF4" w:rsidRPr="009A0817" w:rsidRDefault="00EE5EF4">
      <w:pPr>
        <w:pStyle w:val="Clause"/>
        <w:numPr>
          <w:ilvl w:val="0"/>
          <w:numId w:val="32"/>
        </w:numPr>
        <w:rPr>
          <w:rFonts w:asciiTheme="majorHAnsi" w:hAnsiTheme="majorHAnsi" w:cstheme="majorHAnsi"/>
          <w:sz w:val="22"/>
          <w:lang w:val="de-DE"/>
        </w:rPr>
      </w:pPr>
      <w:r w:rsidRPr="009A0817">
        <w:rPr>
          <w:rFonts w:asciiTheme="majorHAnsi" w:hAnsiTheme="majorHAnsi" w:cstheme="majorHAnsi"/>
          <w:sz w:val="22"/>
          <w:lang w:val="de-DE"/>
        </w:rPr>
        <w:t xml:space="preserve">Soweit diese Vereinbarung nichts Abweichendes bestimmt, erfolgen </w:t>
      </w:r>
      <w:r w:rsidR="00EC5907" w:rsidRPr="00EC5907">
        <w:rPr>
          <w:rFonts w:asciiTheme="majorHAnsi" w:hAnsiTheme="majorHAnsi" w:cstheme="majorHAnsi"/>
          <w:sz w:val="22"/>
          <w:lang w:val="de-DE"/>
        </w:rPr>
        <w:t>sämtliche nach dieser Teilnahmevereinbarung erforderlichen oder zulässigen</w:t>
      </w:r>
      <w:r w:rsidR="00EC5907">
        <w:rPr>
          <w:rFonts w:asciiTheme="majorHAnsi" w:hAnsiTheme="majorHAnsi" w:cstheme="majorHAnsi"/>
          <w:sz w:val="22"/>
          <w:lang w:val="de-DE"/>
        </w:rPr>
        <w:t xml:space="preserve"> </w:t>
      </w:r>
      <w:r w:rsidRPr="009A0817">
        <w:rPr>
          <w:rFonts w:asciiTheme="majorHAnsi" w:hAnsiTheme="majorHAnsi" w:cstheme="majorHAnsi"/>
          <w:sz w:val="22"/>
          <w:lang w:val="de-DE"/>
        </w:rPr>
        <w:t>Mitteilungen mindestens in Textform, insbesondere per E-Mail. Gesetzlich zwingende Formvorschriften bleiben unberührt.</w:t>
      </w:r>
    </w:p>
    <w:p w14:paraId="7E8FA45A" w14:textId="77777777" w:rsidR="00EE5EF4" w:rsidRPr="009A0817" w:rsidRDefault="00EE5EF4">
      <w:pPr>
        <w:pStyle w:val="Clause"/>
        <w:numPr>
          <w:ilvl w:val="0"/>
          <w:numId w:val="32"/>
        </w:numPr>
        <w:rPr>
          <w:rFonts w:asciiTheme="majorHAnsi" w:hAnsiTheme="majorHAnsi" w:cstheme="majorHAnsi"/>
          <w:sz w:val="22"/>
          <w:lang w:val="de-DE"/>
        </w:rPr>
      </w:pPr>
      <w:r w:rsidRPr="009A0817">
        <w:rPr>
          <w:rFonts w:asciiTheme="majorHAnsi" w:hAnsiTheme="majorHAnsi" w:cstheme="majorHAnsi"/>
          <w:sz w:val="22"/>
          <w:lang w:val="de-DE"/>
        </w:rPr>
        <w:t>Pilotbezogene Mitteilungen an die Bundesbank sind an die jeweils benannte Projekt- oder Vertragsstelle zu richten. Bis zur Mitteilung eines abweichenden Vertragskontakts kann hierfür piloting-digitalereuro@bundesbank.de verwendet werden.</w:t>
      </w:r>
    </w:p>
    <w:p w14:paraId="67A11970" w14:textId="77777777" w:rsidR="00EE5EF4" w:rsidRPr="009A0817" w:rsidRDefault="00EE5EF4">
      <w:pPr>
        <w:pStyle w:val="Clause"/>
        <w:numPr>
          <w:ilvl w:val="0"/>
          <w:numId w:val="32"/>
        </w:numPr>
        <w:rPr>
          <w:rFonts w:asciiTheme="majorHAnsi" w:hAnsiTheme="majorHAnsi" w:cstheme="majorHAnsi"/>
          <w:sz w:val="22"/>
          <w:lang w:val="de-DE"/>
        </w:rPr>
      </w:pPr>
      <w:r w:rsidRPr="009A0817">
        <w:rPr>
          <w:rFonts w:asciiTheme="majorHAnsi" w:hAnsiTheme="majorHAnsi" w:cstheme="majorHAnsi"/>
          <w:sz w:val="22"/>
          <w:lang w:val="de-DE"/>
        </w:rPr>
        <w:lastRenderedPageBreak/>
        <w:t xml:space="preserve">Mitteilungen an den Pilothändler erfolgen an die von ihm im Auswahl- bzw. </w:t>
      </w:r>
      <w:proofErr w:type="spellStart"/>
      <w:r w:rsidRPr="009A0817">
        <w:rPr>
          <w:rFonts w:asciiTheme="majorHAnsi" w:hAnsiTheme="majorHAnsi" w:cstheme="majorHAnsi"/>
          <w:sz w:val="22"/>
          <w:lang w:val="de-DE"/>
        </w:rPr>
        <w:t>Onboardingverfahren</w:t>
      </w:r>
      <w:proofErr w:type="spellEnd"/>
      <w:r w:rsidRPr="009A0817">
        <w:rPr>
          <w:rFonts w:asciiTheme="majorHAnsi" w:hAnsiTheme="majorHAnsi" w:cstheme="majorHAnsi"/>
          <w:sz w:val="22"/>
          <w:lang w:val="de-DE"/>
        </w:rPr>
        <w:t xml:space="preserve"> benannte verantwortliche Kontaktadresse.</w:t>
      </w:r>
    </w:p>
    <w:p w14:paraId="2A59CA8F" w14:textId="77777777" w:rsidR="00EE5EF4" w:rsidRPr="009A0817" w:rsidRDefault="00EE5EF4">
      <w:pPr>
        <w:pStyle w:val="Clause"/>
        <w:numPr>
          <w:ilvl w:val="0"/>
          <w:numId w:val="32"/>
        </w:numPr>
        <w:rPr>
          <w:rFonts w:asciiTheme="majorHAnsi" w:hAnsiTheme="majorHAnsi" w:cstheme="majorHAnsi"/>
          <w:sz w:val="22"/>
          <w:lang w:val="de-DE"/>
        </w:rPr>
      </w:pPr>
      <w:r w:rsidRPr="009A0817">
        <w:rPr>
          <w:rFonts w:asciiTheme="majorHAnsi" w:hAnsiTheme="majorHAnsi" w:cstheme="majorHAnsi"/>
          <w:sz w:val="22"/>
          <w:lang w:val="de-DE"/>
        </w:rPr>
        <w:t>Änderungen der Ansprechpartner oder Kontaktdaten sind der anderen Partei unverzüglich mitzuteilen.</w:t>
      </w:r>
    </w:p>
    <w:p w14:paraId="51BCA6DE" w14:textId="77777777" w:rsidR="00EE5EF4" w:rsidRPr="009A0817" w:rsidRDefault="00EE5EF4">
      <w:pPr>
        <w:pStyle w:val="Clause"/>
        <w:numPr>
          <w:ilvl w:val="0"/>
          <w:numId w:val="32"/>
        </w:numPr>
        <w:rPr>
          <w:rFonts w:asciiTheme="majorHAnsi" w:hAnsiTheme="majorHAnsi" w:cstheme="majorHAnsi"/>
          <w:sz w:val="22"/>
          <w:lang w:val="de-DE"/>
        </w:rPr>
      </w:pPr>
      <w:r w:rsidRPr="009A0817">
        <w:rPr>
          <w:rFonts w:asciiTheme="majorHAnsi" w:hAnsiTheme="majorHAnsi" w:cstheme="majorHAnsi"/>
          <w:sz w:val="22"/>
          <w:lang w:val="de-DE"/>
        </w:rPr>
        <w:t>Vertragssprache ist Deutsch. Technische Unterlagen und Abstimmungen können, soweit für den Pilot erforderlich, auch in englischer Sprache erfolgen.</w:t>
      </w:r>
    </w:p>
    <w:p w14:paraId="4D5A6119" w14:textId="77777777" w:rsidR="00EE5EF4" w:rsidRPr="009A0817" w:rsidRDefault="00EE5EF4" w:rsidP="00EE5EF4">
      <w:pPr>
        <w:pStyle w:val="berschrift1"/>
        <w:numPr>
          <w:ilvl w:val="0"/>
          <w:numId w:val="0"/>
        </w:numPr>
        <w:ind w:left="1134" w:hanging="1134"/>
        <w:rPr>
          <w:rFonts w:cstheme="majorHAnsi"/>
          <w:sz w:val="22"/>
          <w:szCs w:val="22"/>
        </w:rPr>
      </w:pPr>
      <w:r w:rsidRPr="009A0817">
        <w:rPr>
          <w:rFonts w:cstheme="majorHAnsi"/>
          <w:sz w:val="22"/>
          <w:szCs w:val="22"/>
        </w:rPr>
        <w:t xml:space="preserve">§ </w:t>
      </w:r>
      <w:r>
        <w:rPr>
          <w:rFonts w:cstheme="majorHAnsi"/>
          <w:sz w:val="22"/>
          <w:szCs w:val="22"/>
        </w:rPr>
        <w:t>14</w:t>
      </w:r>
      <w:r w:rsidRPr="009A0817">
        <w:rPr>
          <w:rFonts w:cstheme="majorHAnsi"/>
          <w:sz w:val="22"/>
          <w:szCs w:val="22"/>
        </w:rPr>
        <w:t xml:space="preserve"> Anwendbares Recht, Gerichtsstand und Erfüllungsort</w:t>
      </w:r>
    </w:p>
    <w:p w14:paraId="1F4BDCBE" w14:textId="77777777" w:rsidR="00EE5EF4" w:rsidRPr="009A0817" w:rsidRDefault="00EE5EF4">
      <w:pPr>
        <w:pStyle w:val="Clause"/>
        <w:numPr>
          <w:ilvl w:val="0"/>
          <w:numId w:val="31"/>
        </w:numPr>
        <w:rPr>
          <w:rFonts w:asciiTheme="majorHAnsi" w:hAnsiTheme="majorHAnsi" w:cstheme="majorHAnsi"/>
          <w:sz w:val="22"/>
          <w:lang w:val="de-DE"/>
        </w:rPr>
      </w:pPr>
      <w:r w:rsidRPr="009A0817">
        <w:rPr>
          <w:rFonts w:asciiTheme="majorHAnsi" w:hAnsiTheme="majorHAnsi" w:cstheme="majorHAnsi"/>
          <w:sz w:val="22"/>
          <w:lang w:val="de-DE"/>
        </w:rPr>
        <w:t>Diese Teilnahmevereinbarung unterliegt dem Recht der Bundesrepublik Deutschland.</w:t>
      </w:r>
    </w:p>
    <w:p w14:paraId="3C6024A3" w14:textId="77777777" w:rsidR="00EE5EF4" w:rsidRPr="009A0817" w:rsidRDefault="00EE5EF4">
      <w:pPr>
        <w:pStyle w:val="Clause"/>
        <w:numPr>
          <w:ilvl w:val="0"/>
          <w:numId w:val="31"/>
        </w:numPr>
        <w:rPr>
          <w:rFonts w:asciiTheme="majorHAnsi" w:hAnsiTheme="majorHAnsi" w:cstheme="majorHAnsi"/>
          <w:sz w:val="22"/>
          <w:lang w:val="de-DE"/>
        </w:rPr>
      </w:pPr>
      <w:r w:rsidRPr="009A0817">
        <w:rPr>
          <w:rFonts w:asciiTheme="majorHAnsi" w:hAnsiTheme="majorHAnsi" w:cstheme="majorHAnsi"/>
          <w:sz w:val="22"/>
          <w:lang w:val="de-DE"/>
        </w:rPr>
        <w:t>Soweit eine Gerichtsstandsvereinbarung gesetzlich zulässig ist, ist Frankfurt am Main ausschließlicher Gerichtsstand für Streitigkeiten aus oder im Zusammenhang mit dieser Vereinbarung.</w:t>
      </w:r>
    </w:p>
    <w:p w14:paraId="4F6A6338" w14:textId="47F8646C" w:rsidR="00EE5EF4" w:rsidRPr="005A12BA" w:rsidRDefault="00EE5EF4">
      <w:pPr>
        <w:pStyle w:val="Clause"/>
        <w:numPr>
          <w:ilvl w:val="0"/>
          <w:numId w:val="31"/>
        </w:numPr>
        <w:rPr>
          <w:rFonts w:asciiTheme="majorHAnsi" w:hAnsiTheme="majorHAnsi" w:cstheme="majorHAnsi"/>
          <w:sz w:val="22"/>
          <w:lang w:val="de-DE"/>
        </w:rPr>
      </w:pPr>
      <w:r w:rsidRPr="009A0817">
        <w:rPr>
          <w:rFonts w:asciiTheme="majorHAnsi" w:hAnsiTheme="majorHAnsi" w:cstheme="majorHAnsi"/>
          <w:sz w:val="22"/>
          <w:lang w:val="de-DE"/>
        </w:rPr>
        <w:t xml:space="preserve">Erfüllungsort </w:t>
      </w:r>
      <w:r w:rsidR="00EC5907">
        <w:rPr>
          <w:rFonts w:asciiTheme="majorHAnsi" w:hAnsiTheme="majorHAnsi" w:cstheme="majorHAnsi"/>
          <w:sz w:val="22"/>
          <w:lang w:val="de-DE"/>
        </w:rPr>
        <w:t xml:space="preserve">für sämtliche Verpflichtungen aus dem Rechtsverhältnis zwischen der Bundesbank und dem Pilothändler </w:t>
      </w:r>
      <w:r w:rsidRPr="009A0817">
        <w:rPr>
          <w:rFonts w:asciiTheme="majorHAnsi" w:hAnsiTheme="majorHAnsi" w:cstheme="majorHAnsi"/>
          <w:sz w:val="22"/>
          <w:lang w:val="de-DE"/>
        </w:rPr>
        <w:t xml:space="preserve">ist Frankfurt am Main, soweit die Parteien für einzelne standortbezogene Leistungen nichts </w:t>
      </w:r>
      <w:r w:rsidRPr="005A12BA">
        <w:rPr>
          <w:rFonts w:asciiTheme="majorHAnsi" w:hAnsiTheme="majorHAnsi" w:cstheme="majorHAnsi"/>
          <w:sz w:val="22"/>
          <w:lang w:val="de-DE"/>
        </w:rPr>
        <w:t>Abweichendes vereinbaren.</w:t>
      </w:r>
    </w:p>
    <w:p w14:paraId="3F6D4BA9" w14:textId="77777777" w:rsidR="00EE5EF4" w:rsidRPr="005A12BA" w:rsidRDefault="00EE5EF4" w:rsidP="00EE5EF4">
      <w:pPr>
        <w:pStyle w:val="berschrift1"/>
        <w:numPr>
          <w:ilvl w:val="0"/>
          <w:numId w:val="0"/>
        </w:numPr>
        <w:ind w:left="1134" w:hanging="1134"/>
        <w:rPr>
          <w:rFonts w:cstheme="majorHAnsi"/>
          <w:sz w:val="22"/>
          <w:szCs w:val="22"/>
        </w:rPr>
      </w:pPr>
      <w:r w:rsidRPr="005A12BA">
        <w:rPr>
          <w:rFonts w:cstheme="majorHAnsi"/>
          <w:sz w:val="22"/>
          <w:szCs w:val="22"/>
        </w:rPr>
        <w:t xml:space="preserve">§ </w:t>
      </w:r>
      <w:r>
        <w:rPr>
          <w:rFonts w:cstheme="majorHAnsi"/>
          <w:sz w:val="22"/>
          <w:szCs w:val="22"/>
        </w:rPr>
        <w:t>15</w:t>
      </w:r>
      <w:r w:rsidRPr="005A12BA">
        <w:rPr>
          <w:rFonts w:cstheme="majorHAnsi"/>
          <w:sz w:val="22"/>
          <w:szCs w:val="22"/>
        </w:rPr>
        <w:t xml:space="preserve"> Laufzeit, Änderungen und Beendigung</w:t>
      </w:r>
    </w:p>
    <w:p w14:paraId="5EFC76F2" w14:textId="77777777" w:rsidR="00EE5EF4" w:rsidRPr="009A0817" w:rsidRDefault="00EE5EF4">
      <w:pPr>
        <w:pStyle w:val="Clause"/>
        <w:numPr>
          <w:ilvl w:val="0"/>
          <w:numId w:val="30"/>
        </w:numPr>
        <w:jc w:val="both"/>
        <w:rPr>
          <w:rFonts w:asciiTheme="majorHAnsi" w:hAnsiTheme="majorHAnsi" w:cstheme="majorHAnsi"/>
          <w:sz w:val="22"/>
          <w:lang w:val="de-DE"/>
        </w:rPr>
      </w:pPr>
      <w:r w:rsidRPr="005A12BA">
        <w:rPr>
          <w:rFonts w:asciiTheme="majorHAnsi" w:hAnsiTheme="majorHAnsi" w:cstheme="majorHAnsi"/>
          <w:sz w:val="22"/>
          <w:lang w:val="de-DE"/>
        </w:rPr>
        <w:t>Diese Teilnahmevereinbarung tritt mit Unterzeichnung</w:t>
      </w:r>
      <w:r w:rsidRPr="009A0817">
        <w:rPr>
          <w:rFonts w:asciiTheme="majorHAnsi" w:hAnsiTheme="majorHAnsi" w:cstheme="majorHAnsi"/>
          <w:sz w:val="22"/>
          <w:lang w:val="de-DE"/>
        </w:rPr>
        <w:t xml:space="preserve"> durch beide Parteien in Kraft.</w:t>
      </w:r>
    </w:p>
    <w:p w14:paraId="166C18FA" w14:textId="056AEFFB" w:rsidR="00EE5EF4" w:rsidRPr="009A0817" w:rsidRDefault="00EE5EF4">
      <w:pPr>
        <w:pStyle w:val="Clause"/>
        <w:numPr>
          <w:ilvl w:val="0"/>
          <w:numId w:val="30"/>
        </w:numPr>
        <w:jc w:val="both"/>
        <w:rPr>
          <w:rFonts w:asciiTheme="majorHAnsi" w:hAnsiTheme="majorHAnsi" w:cstheme="majorHAnsi"/>
          <w:sz w:val="22"/>
          <w:lang w:val="de-DE"/>
        </w:rPr>
      </w:pPr>
      <w:r>
        <w:rPr>
          <w:rFonts w:asciiTheme="majorHAnsi" w:hAnsiTheme="majorHAnsi" w:cstheme="majorHAnsi"/>
          <w:sz w:val="22"/>
          <w:lang w:val="de-DE"/>
        </w:rPr>
        <w:t xml:space="preserve">Die Vereinbarung endet mit Ablauf des Zugesagten Teilnahmezeitraums oder </w:t>
      </w:r>
      <w:r w:rsidR="00971894">
        <w:rPr>
          <w:rFonts w:asciiTheme="majorHAnsi" w:hAnsiTheme="majorHAnsi" w:cstheme="majorHAnsi"/>
          <w:sz w:val="22"/>
          <w:lang w:val="de-DE"/>
        </w:rPr>
        <w:t xml:space="preserve">mit Ablauf </w:t>
      </w:r>
      <w:r>
        <w:rPr>
          <w:rFonts w:asciiTheme="majorHAnsi" w:hAnsiTheme="majorHAnsi" w:cstheme="majorHAnsi"/>
          <w:sz w:val="22"/>
          <w:lang w:val="de-DE"/>
        </w:rPr>
        <w:t>einer nach § 2 Absatz 4 vereinbarten Fortsetzung, spätestens mit dem Abschluss der Operativen Pilotphase, soweit sie nicht zuvor beendet wird.</w:t>
      </w:r>
      <w:r w:rsidRPr="009A0817">
        <w:rPr>
          <w:rFonts w:asciiTheme="majorHAnsi" w:hAnsiTheme="majorHAnsi" w:cstheme="majorHAnsi"/>
          <w:sz w:val="22"/>
          <w:lang w:val="de-DE"/>
        </w:rPr>
        <w:t xml:space="preserve"> Pflichten, die ihrer Natur nach fortgelten sollen, insbesondere zu Datenschutz, Vertraulichkeit, geistigem Eigentum, </w:t>
      </w:r>
      <w:r>
        <w:rPr>
          <w:rFonts w:asciiTheme="majorHAnsi" w:hAnsiTheme="majorHAnsi" w:cstheme="majorHAnsi"/>
          <w:sz w:val="22"/>
          <w:lang w:val="de-DE"/>
        </w:rPr>
        <w:t xml:space="preserve">Abwicklung einschließlich </w:t>
      </w:r>
      <w:proofErr w:type="spellStart"/>
      <w:r>
        <w:rPr>
          <w:rFonts w:asciiTheme="majorHAnsi" w:hAnsiTheme="majorHAnsi" w:cstheme="majorHAnsi"/>
          <w:sz w:val="22"/>
          <w:lang w:val="de-DE"/>
        </w:rPr>
        <w:t>Offboarding</w:t>
      </w:r>
      <w:proofErr w:type="spellEnd"/>
      <w:r>
        <w:rPr>
          <w:rFonts w:asciiTheme="majorHAnsi" w:hAnsiTheme="majorHAnsi" w:cstheme="majorHAnsi"/>
          <w:sz w:val="22"/>
          <w:lang w:val="de-DE"/>
        </w:rPr>
        <w:t xml:space="preserve"> und Abschlussfeedback (§ 6, Anhang B Nummer 4) sowie Haftung</w:t>
      </w:r>
      <w:r w:rsidRPr="009A0817">
        <w:rPr>
          <w:rFonts w:asciiTheme="majorHAnsi" w:hAnsiTheme="majorHAnsi" w:cstheme="majorHAnsi"/>
          <w:sz w:val="22"/>
          <w:lang w:val="de-DE"/>
        </w:rPr>
        <w:t>, bleiben unberührt.</w:t>
      </w:r>
    </w:p>
    <w:p w14:paraId="4C06FA59" w14:textId="72852A1A" w:rsidR="00EE5EF4" w:rsidRPr="009A0817" w:rsidRDefault="00EE5EF4">
      <w:pPr>
        <w:pStyle w:val="Clause"/>
        <w:numPr>
          <w:ilvl w:val="0"/>
          <w:numId w:val="30"/>
        </w:numPr>
        <w:jc w:val="both"/>
        <w:rPr>
          <w:rFonts w:asciiTheme="majorHAnsi" w:hAnsiTheme="majorHAnsi" w:cstheme="majorHAnsi"/>
          <w:sz w:val="22"/>
          <w:lang w:val="de-DE"/>
        </w:rPr>
      </w:pPr>
      <w:r>
        <w:rPr>
          <w:rFonts w:asciiTheme="majorHAnsi" w:hAnsiTheme="majorHAnsi" w:cstheme="majorHAnsi"/>
          <w:sz w:val="22"/>
          <w:lang w:val="de-DE"/>
        </w:rPr>
        <w:t xml:space="preserve">Jede Partei </w:t>
      </w:r>
      <w:r w:rsidR="00EC5907">
        <w:rPr>
          <w:rFonts w:asciiTheme="majorHAnsi" w:hAnsiTheme="majorHAnsi" w:cstheme="majorHAnsi"/>
          <w:sz w:val="22"/>
          <w:lang w:val="de-DE"/>
        </w:rPr>
        <w:t xml:space="preserve">ist berechtigt, </w:t>
      </w:r>
      <w:r>
        <w:rPr>
          <w:rFonts w:asciiTheme="majorHAnsi" w:hAnsiTheme="majorHAnsi" w:cstheme="majorHAnsi"/>
          <w:sz w:val="22"/>
          <w:lang w:val="de-DE"/>
        </w:rPr>
        <w:t>diese Vereinbarung aus wichtigem Grund</w:t>
      </w:r>
      <w:r w:rsidR="00EC5907">
        <w:rPr>
          <w:rFonts w:asciiTheme="majorHAnsi" w:hAnsiTheme="majorHAnsi" w:cstheme="majorHAnsi"/>
          <w:sz w:val="22"/>
          <w:lang w:val="de-DE"/>
        </w:rPr>
        <w:t xml:space="preserve"> </w:t>
      </w:r>
      <w:r w:rsidR="00EC5907" w:rsidRPr="00EC5907">
        <w:rPr>
          <w:rFonts w:asciiTheme="majorHAnsi" w:hAnsiTheme="majorHAnsi" w:cstheme="majorHAnsi"/>
          <w:sz w:val="22"/>
          <w:lang w:val="de-DE"/>
        </w:rPr>
        <w:t xml:space="preserve">mit sofortiger Wirkung </w:t>
      </w:r>
      <w:r w:rsidR="00EC5907">
        <w:rPr>
          <w:rFonts w:asciiTheme="majorHAnsi" w:hAnsiTheme="majorHAnsi" w:cstheme="majorHAnsi"/>
          <w:sz w:val="22"/>
          <w:lang w:val="de-DE"/>
        </w:rPr>
        <w:t xml:space="preserve">zu </w:t>
      </w:r>
      <w:r>
        <w:rPr>
          <w:rFonts w:asciiTheme="majorHAnsi" w:hAnsiTheme="majorHAnsi" w:cstheme="majorHAnsi"/>
          <w:sz w:val="22"/>
          <w:lang w:val="de-DE"/>
        </w:rPr>
        <w:t xml:space="preserve">kündigen. Bei einer behebbaren wesentlichen Pflichtverletzung ist der anderen Partei eine Frist von </w:t>
      </w:r>
      <w:r w:rsidR="00EC5907">
        <w:rPr>
          <w:rFonts w:asciiTheme="majorHAnsi" w:hAnsiTheme="majorHAnsi" w:cstheme="majorHAnsi"/>
          <w:sz w:val="22"/>
          <w:lang w:val="de-DE"/>
        </w:rPr>
        <w:t>einundzwanzig (</w:t>
      </w:r>
      <w:r>
        <w:rPr>
          <w:rFonts w:asciiTheme="majorHAnsi" w:hAnsiTheme="majorHAnsi" w:cstheme="majorHAnsi"/>
          <w:sz w:val="22"/>
          <w:lang w:val="de-DE"/>
        </w:rPr>
        <w:t>21</w:t>
      </w:r>
      <w:r w:rsidR="00EC5907">
        <w:rPr>
          <w:rFonts w:asciiTheme="majorHAnsi" w:hAnsiTheme="majorHAnsi" w:cstheme="majorHAnsi"/>
          <w:sz w:val="22"/>
          <w:lang w:val="de-DE"/>
        </w:rPr>
        <w:t>)</w:t>
      </w:r>
      <w:r>
        <w:rPr>
          <w:rFonts w:asciiTheme="majorHAnsi" w:hAnsiTheme="majorHAnsi" w:cstheme="majorHAnsi"/>
          <w:sz w:val="22"/>
          <w:lang w:val="de-DE"/>
        </w:rPr>
        <w:t xml:space="preserve"> Kalendertagen ab Zugang einer Mitteilung der Pflichtverletzung in Textform zur Abhilfe zu setzen, bevor gekündigt wird. Eine wesentliche Pflichtverletzung liegt insbesondere auch vor, wenn der Pilothändler nach § 2 Absatz 10 mitgeteilte Anpassungen nicht fristgerecht umsetzt, ohne von seinem Kündigungsrecht Gebrauch zu machen. </w:t>
      </w:r>
    </w:p>
    <w:p w14:paraId="6D8BB497" w14:textId="0C1F6FF4" w:rsidR="00EC5907" w:rsidRDefault="00EE5EF4">
      <w:pPr>
        <w:pStyle w:val="Clause"/>
        <w:numPr>
          <w:ilvl w:val="0"/>
          <w:numId w:val="30"/>
        </w:numPr>
        <w:jc w:val="both"/>
        <w:rPr>
          <w:rFonts w:asciiTheme="majorHAnsi" w:hAnsiTheme="majorHAnsi" w:cstheme="majorHAnsi"/>
          <w:sz w:val="22"/>
          <w:lang w:val="de-DE"/>
        </w:rPr>
      </w:pPr>
      <w:r w:rsidRPr="009A0817">
        <w:rPr>
          <w:rFonts w:asciiTheme="majorHAnsi" w:hAnsiTheme="majorHAnsi" w:cstheme="majorHAnsi"/>
          <w:sz w:val="22"/>
          <w:lang w:val="de-DE"/>
        </w:rPr>
        <w:t>Die Bundesbank kann die Vereinbarung insbesondere</w:t>
      </w:r>
      <w:r w:rsidR="00971894">
        <w:rPr>
          <w:rFonts w:asciiTheme="majorHAnsi" w:hAnsiTheme="majorHAnsi" w:cstheme="majorHAnsi"/>
          <w:sz w:val="22"/>
          <w:lang w:val="de-DE"/>
        </w:rPr>
        <w:t xml:space="preserve"> dann aus wichtigem Grund</w:t>
      </w:r>
      <w:r w:rsidRPr="009A0817">
        <w:rPr>
          <w:rFonts w:asciiTheme="majorHAnsi" w:hAnsiTheme="majorHAnsi" w:cstheme="majorHAnsi"/>
          <w:sz w:val="22"/>
          <w:lang w:val="de-DE"/>
        </w:rPr>
        <w:t xml:space="preserve"> mit sofortiger Wirkung beenden, wenn der Pilothändler</w:t>
      </w:r>
      <w:r w:rsidR="00EC5907">
        <w:rPr>
          <w:rFonts w:asciiTheme="majorHAnsi" w:hAnsiTheme="majorHAnsi" w:cstheme="majorHAnsi"/>
          <w:sz w:val="22"/>
          <w:lang w:val="de-DE"/>
        </w:rPr>
        <w:t>:</w:t>
      </w:r>
    </w:p>
    <w:p w14:paraId="04D63215" w14:textId="14508594" w:rsidR="00EC5907" w:rsidRPr="00EC5907" w:rsidRDefault="00EC5907" w:rsidP="00EC5907">
      <w:pPr>
        <w:pStyle w:val="Clause"/>
        <w:numPr>
          <w:ilvl w:val="0"/>
          <w:numId w:val="62"/>
        </w:numPr>
        <w:jc w:val="both"/>
        <w:rPr>
          <w:rFonts w:asciiTheme="majorHAnsi" w:hAnsiTheme="majorHAnsi" w:cstheme="majorHAnsi"/>
          <w:sz w:val="22"/>
          <w:lang w:val="de-DE"/>
        </w:rPr>
      </w:pPr>
      <w:r w:rsidRPr="00EC5907">
        <w:rPr>
          <w:rFonts w:asciiTheme="majorHAnsi" w:hAnsiTheme="majorHAnsi" w:cstheme="majorHAnsi"/>
          <w:sz w:val="22"/>
          <w:lang w:val="de-DE"/>
        </w:rPr>
        <w:t>zahlungsunfähig wird, seine fälligen finanziellen Verpflichtungen nicht erfüllen kann oder seine Geschäftstätigkeit im ordentlichen Geschäftsgang einstellt;</w:t>
      </w:r>
    </w:p>
    <w:p w14:paraId="284C0C79" w14:textId="7021395B" w:rsidR="00EC5907" w:rsidRPr="00EC5907" w:rsidRDefault="00EC5907" w:rsidP="00EC5907">
      <w:pPr>
        <w:pStyle w:val="Clause"/>
        <w:numPr>
          <w:ilvl w:val="0"/>
          <w:numId w:val="62"/>
        </w:numPr>
        <w:jc w:val="both"/>
        <w:rPr>
          <w:rFonts w:asciiTheme="majorHAnsi" w:hAnsiTheme="majorHAnsi" w:cstheme="majorHAnsi"/>
          <w:sz w:val="22"/>
          <w:lang w:val="de-DE"/>
        </w:rPr>
      </w:pPr>
      <w:r w:rsidRPr="00EC5907">
        <w:rPr>
          <w:rFonts w:asciiTheme="majorHAnsi" w:hAnsiTheme="majorHAnsi" w:cstheme="majorHAnsi"/>
          <w:sz w:val="22"/>
          <w:lang w:val="de-DE"/>
        </w:rPr>
        <w:t>Gegenstand eines Verfahrens oder einer Maßnahme im Zusammenhang mit Insolvenz, Zahlungsunfähigkeit, Verwaltung oder Liquidation wird, einschließlich der Bestellung eines Insolvenzverwalters, Treuhänders oder einer vergleichbaren Person hinsichtlich seines Vermögens;</w:t>
      </w:r>
    </w:p>
    <w:p w14:paraId="08874452" w14:textId="45A259E9" w:rsidR="00EC5907" w:rsidRPr="00EC5907" w:rsidRDefault="00EC5907" w:rsidP="00EC5907">
      <w:pPr>
        <w:pStyle w:val="Clause"/>
        <w:numPr>
          <w:ilvl w:val="0"/>
          <w:numId w:val="62"/>
        </w:numPr>
        <w:jc w:val="both"/>
        <w:rPr>
          <w:rFonts w:asciiTheme="majorHAnsi" w:hAnsiTheme="majorHAnsi" w:cstheme="majorHAnsi"/>
          <w:sz w:val="22"/>
          <w:lang w:val="de-DE"/>
        </w:rPr>
      </w:pPr>
      <w:r w:rsidRPr="00EC5907">
        <w:rPr>
          <w:rFonts w:asciiTheme="majorHAnsi" w:hAnsiTheme="majorHAnsi" w:cstheme="majorHAnsi"/>
          <w:sz w:val="22"/>
          <w:lang w:val="de-DE"/>
        </w:rPr>
        <w:t>eine Vereinbarung, einen Vergleich oder eine Restrukturierungsmaßnahme mit seinen Gläubigern einleitet oder einer solchen unterworfen wird; oder</w:t>
      </w:r>
    </w:p>
    <w:p w14:paraId="4854A068" w14:textId="0060113F" w:rsidR="00EC5907" w:rsidRPr="00EC5907" w:rsidRDefault="00EC5907" w:rsidP="00EC5907">
      <w:pPr>
        <w:pStyle w:val="Clause"/>
        <w:numPr>
          <w:ilvl w:val="0"/>
          <w:numId w:val="62"/>
        </w:numPr>
        <w:jc w:val="both"/>
        <w:rPr>
          <w:rFonts w:asciiTheme="majorHAnsi" w:hAnsiTheme="majorHAnsi" w:cstheme="majorHAnsi"/>
          <w:sz w:val="22"/>
          <w:lang w:val="de-DE"/>
        </w:rPr>
      </w:pPr>
      <w:r w:rsidRPr="00EC5907">
        <w:rPr>
          <w:rFonts w:asciiTheme="majorHAnsi" w:hAnsiTheme="majorHAnsi" w:cstheme="majorHAnsi"/>
          <w:sz w:val="22"/>
          <w:lang w:val="de-DE"/>
        </w:rPr>
        <w:t>einem Verfahren nach dem anwendbaren Recht der maßgeblichen Rechtsordnung oder einem vergleichbaren Ereignis unterliegt, das seine Fähigkeit zur Erfüllung seiner Verpflichtungen aus dieser Teilnahmevereinbarung wesentlich beeinträchtigt.</w:t>
      </w:r>
    </w:p>
    <w:p w14:paraId="3920CB76" w14:textId="189290F7" w:rsidR="005842CC" w:rsidRPr="00971894" w:rsidRDefault="00EE5EF4" w:rsidP="005842CC">
      <w:pPr>
        <w:pStyle w:val="Clause"/>
        <w:numPr>
          <w:ilvl w:val="0"/>
          <w:numId w:val="30"/>
        </w:numPr>
        <w:jc w:val="both"/>
        <w:rPr>
          <w:rFonts w:asciiTheme="majorHAnsi" w:hAnsiTheme="majorHAnsi" w:cstheme="majorHAnsi"/>
          <w:sz w:val="22"/>
          <w:lang w:val="de-DE"/>
        </w:rPr>
      </w:pPr>
      <w:r w:rsidRPr="009A0817">
        <w:rPr>
          <w:rFonts w:asciiTheme="majorHAnsi" w:hAnsiTheme="majorHAnsi" w:cstheme="majorHAnsi"/>
          <w:sz w:val="22"/>
          <w:lang w:val="de-DE"/>
        </w:rPr>
        <w:t xml:space="preserve">Die Bundesbank kann die Vereinbarung außerdem </w:t>
      </w:r>
      <w:r w:rsidR="00971894">
        <w:rPr>
          <w:rFonts w:asciiTheme="majorHAnsi" w:hAnsiTheme="majorHAnsi" w:cstheme="majorHAnsi"/>
          <w:sz w:val="22"/>
          <w:lang w:val="de-DE"/>
        </w:rPr>
        <w:t>aus wichtigem Grund</w:t>
      </w:r>
      <w:r w:rsidR="00971894" w:rsidRPr="009A0817">
        <w:rPr>
          <w:rFonts w:asciiTheme="majorHAnsi" w:hAnsiTheme="majorHAnsi" w:cstheme="majorHAnsi"/>
          <w:sz w:val="22"/>
          <w:lang w:val="de-DE"/>
        </w:rPr>
        <w:t xml:space="preserve"> </w:t>
      </w:r>
      <w:r w:rsidRPr="009A0817">
        <w:rPr>
          <w:rFonts w:asciiTheme="majorHAnsi" w:hAnsiTheme="majorHAnsi" w:cstheme="majorHAnsi"/>
          <w:sz w:val="22"/>
          <w:lang w:val="de-DE"/>
        </w:rPr>
        <w:t xml:space="preserve">mit sofortiger Wirkung beenden, wenn eine erhebliche Sicherheits-, Stabilitäts-, Compliance- oder </w:t>
      </w:r>
      <w:r w:rsidRPr="009A0817">
        <w:rPr>
          <w:rFonts w:asciiTheme="majorHAnsi" w:hAnsiTheme="majorHAnsi" w:cstheme="majorHAnsi"/>
          <w:sz w:val="22"/>
          <w:lang w:val="de-DE"/>
        </w:rPr>
        <w:lastRenderedPageBreak/>
        <w:t>Reputationsgefährdung für den Pilot</w:t>
      </w:r>
      <w:r w:rsidR="00EC5907">
        <w:rPr>
          <w:rFonts w:asciiTheme="majorHAnsi" w:hAnsiTheme="majorHAnsi" w:cstheme="majorHAnsi"/>
          <w:sz w:val="22"/>
          <w:lang w:val="de-DE"/>
        </w:rPr>
        <w:t>betrieb</w:t>
      </w:r>
      <w:r w:rsidRPr="009A0817">
        <w:rPr>
          <w:rFonts w:asciiTheme="majorHAnsi" w:hAnsiTheme="majorHAnsi" w:cstheme="majorHAnsi"/>
          <w:sz w:val="22"/>
          <w:lang w:val="de-DE"/>
        </w:rPr>
        <w:t>, die Bundesbank, das Eurosystem oder die Pilotinfrastruktur besteht und diese nicht mit zumutbaren Maßnahmen bei Fortsetzung der Teilnahme beherrscht werden kann.</w:t>
      </w:r>
      <w:r w:rsidR="005842CC">
        <w:rPr>
          <w:rFonts w:asciiTheme="majorHAnsi" w:hAnsiTheme="majorHAnsi" w:cstheme="majorHAnsi"/>
          <w:sz w:val="22"/>
          <w:lang w:val="de-DE"/>
        </w:rPr>
        <w:t xml:space="preserve"> </w:t>
      </w:r>
      <w:r w:rsidR="005842CC" w:rsidRPr="00971894">
        <w:rPr>
          <w:rFonts w:asciiTheme="majorHAnsi" w:hAnsiTheme="majorHAnsi" w:cstheme="majorHAnsi"/>
          <w:sz w:val="22"/>
          <w:lang w:val="de-DE"/>
        </w:rPr>
        <w:t>Dies gilt insbesondere</w:t>
      </w:r>
      <w:r w:rsidR="00971894">
        <w:rPr>
          <w:rFonts w:asciiTheme="majorHAnsi" w:hAnsiTheme="majorHAnsi" w:cstheme="majorHAnsi"/>
          <w:sz w:val="22"/>
          <w:lang w:val="de-DE"/>
        </w:rPr>
        <w:t xml:space="preserve"> </w:t>
      </w:r>
      <w:r w:rsidR="005842CC" w:rsidRPr="00971894">
        <w:rPr>
          <w:rFonts w:asciiTheme="majorHAnsi" w:hAnsiTheme="majorHAnsi" w:cstheme="majorHAnsi"/>
          <w:sz w:val="22"/>
          <w:lang w:val="de-DE"/>
        </w:rPr>
        <w:t>für Situationen, die</w:t>
      </w:r>
    </w:p>
    <w:p w14:paraId="3A2A2F94" w14:textId="536C3BC1" w:rsidR="005842CC" w:rsidRPr="005842CC" w:rsidRDefault="005842CC" w:rsidP="00573DE4">
      <w:pPr>
        <w:pStyle w:val="Clause"/>
        <w:numPr>
          <w:ilvl w:val="0"/>
          <w:numId w:val="63"/>
        </w:numPr>
        <w:jc w:val="both"/>
        <w:rPr>
          <w:rFonts w:asciiTheme="majorHAnsi" w:hAnsiTheme="majorHAnsi" w:cstheme="majorHAnsi"/>
          <w:lang w:val="de-DE"/>
        </w:rPr>
      </w:pPr>
      <w:r w:rsidRPr="005842CC">
        <w:rPr>
          <w:rFonts w:asciiTheme="majorHAnsi" w:hAnsiTheme="majorHAnsi" w:cstheme="majorHAnsi"/>
          <w:lang w:val="de-DE"/>
        </w:rPr>
        <w:t>unannehmbare Risiken für TARGET-Dienste und/oder eines der TARGET-Komponentensysteme und/oder den DESP begründen; oder</w:t>
      </w:r>
    </w:p>
    <w:p w14:paraId="7F702611" w14:textId="7502E63C" w:rsidR="005842CC" w:rsidRPr="005842CC" w:rsidRDefault="005842CC" w:rsidP="00573DE4">
      <w:pPr>
        <w:pStyle w:val="Clause"/>
        <w:numPr>
          <w:ilvl w:val="0"/>
          <w:numId w:val="63"/>
        </w:numPr>
        <w:jc w:val="both"/>
        <w:rPr>
          <w:rFonts w:asciiTheme="majorHAnsi" w:hAnsiTheme="majorHAnsi" w:cstheme="majorHAnsi"/>
          <w:lang w:val="de-DE"/>
        </w:rPr>
      </w:pPr>
      <w:r w:rsidRPr="005842CC">
        <w:rPr>
          <w:rFonts w:asciiTheme="majorHAnsi" w:hAnsiTheme="majorHAnsi" w:cstheme="majorHAnsi"/>
          <w:lang w:val="de-DE"/>
        </w:rPr>
        <w:t>ein schwerwiegendes Reputationsrisiko für die Zentralbanken des Eurosystems, die EZB oder TARGET-</w:t>
      </w:r>
      <w:r w:rsidRPr="00573DE4">
        <w:rPr>
          <w:rFonts w:asciiTheme="majorHAnsi" w:hAnsiTheme="majorHAnsi" w:cstheme="majorHAnsi"/>
          <w:sz w:val="22"/>
          <w:lang w:val="de-DE"/>
        </w:rPr>
        <w:t>Dienste</w:t>
      </w:r>
      <w:r w:rsidRPr="005842CC">
        <w:rPr>
          <w:rFonts w:asciiTheme="majorHAnsi" w:hAnsiTheme="majorHAnsi" w:cstheme="majorHAnsi"/>
          <w:lang w:val="de-DE"/>
        </w:rPr>
        <w:t xml:space="preserve"> darstellen.</w:t>
      </w:r>
    </w:p>
    <w:p w14:paraId="354D1D73" w14:textId="15760386" w:rsidR="00EE5EF4" w:rsidRPr="005842CC" w:rsidRDefault="005842CC" w:rsidP="005842CC">
      <w:pPr>
        <w:pStyle w:val="Clause"/>
        <w:ind w:left="360" w:firstLine="0"/>
        <w:jc w:val="both"/>
        <w:rPr>
          <w:rFonts w:asciiTheme="majorHAnsi" w:hAnsiTheme="majorHAnsi" w:cstheme="majorHAnsi"/>
          <w:lang w:val="de-DE"/>
        </w:rPr>
      </w:pPr>
      <w:r w:rsidRPr="005842CC">
        <w:rPr>
          <w:rFonts w:asciiTheme="majorHAnsi" w:hAnsiTheme="majorHAnsi" w:cstheme="majorHAnsi"/>
          <w:lang w:val="de-DE"/>
        </w:rPr>
        <w:t>Eine Kündigung nach diesem Absatz lässt die Fortführung des Pilotprojekts als solches unberührt.</w:t>
      </w:r>
    </w:p>
    <w:p w14:paraId="6A6F982C" w14:textId="2E293CBA" w:rsidR="00EE5EF4" w:rsidRPr="009A0817" w:rsidRDefault="00EE5EF4">
      <w:pPr>
        <w:pStyle w:val="Clause"/>
        <w:numPr>
          <w:ilvl w:val="0"/>
          <w:numId w:val="30"/>
        </w:numPr>
        <w:jc w:val="both"/>
        <w:rPr>
          <w:rFonts w:asciiTheme="majorHAnsi" w:hAnsiTheme="majorHAnsi" w:cstheme="majorHAnsi"/>
          <w:sz w:val="22"/>
          <w:lang w:val="de-DE"/>
        </w:rPr>
      </w:pPr>
      <w:r w:rsidRPr="009A0817">
        <w:rPr>
          <w:rFonts w:asciiTheme="majorHAnsi" w:hAnsiTheme="majorHAnsi" w:cstheme="majorHAnsi"/>
          <w:sz w:val="22"/>
          <w:lang w:val="de-DE"/>
        </w:rPr>
        <w:t>Der Pilothändler kann die Vereinbarung</w:t>
      </w:r>
      <w:r w:rsidR="00971894" w:rsidRPr="00971894">
        <w:rPr>
          <w:lang w:val="de-DE"/>
        </w:rPr>
        <w:t xml:space="preserve"> </w:t>
      </w:r>
      <w:r w:rsidR="00971894" w:rsidRPr="00971894">
        <w:rPr>
          <w:rFonts w:asciiTheme="majorHAnsi" w:hAnsiTheme="majorHAnsi" w:cstheme="majorHAnsi"/>
          <w:sz w:val="22"/>
          <w:lang w:val="de-DE"/>
        </w:rPr>
        <w:t>aus wichtigem Grund insbesondere dann</w:t>
      </w:r>
      <w:r w:rsidRPr="009A0817">
        <w:rPr>
          <w:rFonts w:asciiTheme="majorHAnsi" w:hAnsiTheme="majorHAnsi" w:cstheme="majorHAnsi"/>
          <w:sz w:val="22"/>
          <w:lang w:val="de-DE"/>
        </w:rPr>
        <w:t xml:space="preserve"> mit sofortiger Wirkung beenden, wenn eine nicht anderweitig beherrschbare Notlage die Verfügbarkeit, Stabilität oder Sicherheit seiner IT- oder Betriebsinfrastruktur oder die Kontinuität seines Geschäftsbetriebs erheblich gefährdet.</w:t>
      </w:r>
    </w:p>
    <w:p w14:paraId="562DB031" w14:textId="77777777" w:rsidR="00EE5EF4" w:rsidRPr="009A0817" w:rsidRDefault="00EE5EF4">
      <w:pPr>
        <w:pStyle w:val="Clause"/>
        <w:numPr>
          <w:ilvl w:val="0"/>
          <w:numId w:val="30"/>
        </w:numPr>
        <w:jc w:val="both"/>
        <w:rPr>
          <w:rFonts w:asciiTheme="majorHAnsi" w:hAnsiTheme="majorHAnsi" w:cstheme="majorHAnsi"/>
          <w:sz w:val="22"/>
          <w:lang w:val="de-DE"/>
        </w:rPr>
      </w:pPr>
      <w:r w:rsidRPr="009A0817">
        <w:rPr>
          <w:rFonts w:asciiTheme="majorHAnsi" w:hAnsiTheme="majorHAnsi" w:cstheme="majorHAnsi"/>
          <w:sz w:val="22"/>
          <w:lang w:val="de-DE"/>
        </w:rPr>
        <w:t xml:space="preserve">Die Beendigung begründet als solche keinen Anspruch einer Partei auf Entschädigung, Aufwendungsersatz oder entgangenen Gewinn. Bereits entstandene Ansprüche und Pflichten bleiben unberührt. Bestimmungen in dieser Teilnahmevereinbarung, die ausdrücklich oder </w:t>
      </w:r>
      <w:proofErr w:type="gramStart"/>
      <w:r w:rsidRPr="009A0817">
        <w:rPr>
          <w:rFonts w:asciiTheme="majorHAnsi" w:hAnsiTheme="majorHAnsi" w:cstheme="majorHAnsi"/>
          <w:sz w:val="22"/>
          <w:lang w:val="de-DE"/>
        </w:rPr>
        <w:t>stil</w:t>
      </w:r>
      <w:r>
        <w:rPr>
          <w:rFonts w:asciiTheme="majorHAnsi" w:hAnsiTheme="majorHAnsi" w:cstheme="majorHAnsi"/>
          <w:sz w:val="22"/>
          <w:lang w:val="de-DE"/>
        </w:rPr>
        <w:t>l</w:t>
      </w:r>
      <w:r w:rsidRPr="009A0817">
        <w:rPr>
          <w:rFonts w:asciiTheme="majorHAnsi" w:hAnsiTheme="majorHAnsi" w:cstheme="majorHAnsi"/>
          <w:sz w:val="22"/>
          <w:lang w:val="de-DE"/>
        </w:rPr>
        <w:t>schweigend</w:t>
      </w:r>
      <w:proofErr w:type="gramEnd"/>
      <w:r w:rsidRPr="009A0817">
        <w:rPr>
          <w:rFonts w:asciiTheme="majorHAnsi" w:hAnsiTheme="majorHAnsi" w:cstheme="majorHAnsi"/>
          <w:sz w:val="22"/>
          <w:lang w:val="de-DE"/>
        </w:rPr>
        <w:t xml:space="preserve"> nach Ablauf oder Beendigung wirksam bleiben (z. B. Datenschutz, Vertraulichkeit, geistiges Eigentum), bleiben weiterhin in vollem Umfang gültig und behalten ihre Wirkung, ungeachtet des Ablaufs oder der Beendigung dieser Teilnahmevereinbarung.</w:t>
      </w:r>
    </w:p>
    <w:p w14:paraId="31CD2A55" w14:textId="4BE88BAA" w:rsidR="00EE5EF4" w:rsidRPr="005842CC" w:rsidRDefault="00EE5EF4" w:rsidP="005842CC">
      <w:pPr>
        <w:pStyle w:val="Clause"/>
        <w:numPr>
          <w:ilvl w:val="0"/>
          <w:numId w:val="30"/>
        </w:numPr>
        <w:jc w:val="both"/>
        <w:rPr>
          <w:rFonts w:asciiTheme="majorHAnsi" w:hAnsiTheme="majorHAnsi" w:cstheme="majorHAnsi"/>
          <w:sz w:val="22"/>
          <w:lang w:val="de-DE"/>
        </w:rPr>
      </w:pPr>
      <w:r>
        <w:rPr>
          <w:rFonts w:asciiTheme="majorHAnsi" w:hAnsiTheme="majorHAnsi" w:cstheme="majorHAnsi"/>
          <w:sz w:val="22"/>
          <w:lang w:val="de-DE"/>
        </w:rPr>
        <w:t>I</w:t>
      </w:r>
      <w:r w:rsidR="005842CC">
        <w:rPr>
          <w:rFonts w:asciiTheme="majorHAnsi" w:hAnsiTheme="majorHAnsi" w:cstheme="majorHAnsi"/>
          <w:sz w:val="22"/>
          <w:lang w:val="de-DE"/>
        </w:rPr>
        <w:t>n jedem</w:t>
      </w:r>
      <w:r>
        <w:rPr>
          <w:rFonts w:asciiTheme="majorHAnsi" w:hAnsiTheme="majorHAnsi" w:cstheme="majorHAnsi"/>
          <w:sz w:val="22"/>
          <w:lang w:val="de-DE"/>
        </w:rPr>
        <w:t xml:space="preserve"> Fall der Beendigung</w:t>
      </w:r>
      <w:r w:rsidR="005842CC">
        <w:rPr>
          <w:rFonts w:asciiTheme="majorHAnsi" w:hAnsiTheme="majorHAnsi" w:cstheme="majorHAnsi"/>
          <w:sz w:val="22"/>
          <w:lang w:val="de-DE"/>
        </w:rPr>
        <w:t xml:space="preserve"> </w:t>
      </w:r>
      <w:r w:rsidR="005842CC" w:rsidRPr="005842CC">
        <w:rPr>
          <w:rFonts w:asciiTheme="majorHAnsi" w:hAnsiTheme="majorHAnsi" w:cstheme="majorHAnsi"/>
          <w:sz w:val="22"/>
          <w:lang w:val="de-DE"/>
        </w:rPr>
        <w:t xml:space="preserve">dieser Teilnahmevereinbarung werden die Parteien ihre Pflichten und Verpflichtungen aus dieser Teilnahmevereinbarung nach Treu und Glauben weiterhin erfüllen, soweit und solange dies erforderlich ist, um eine ordnungsgemäße und fristgerechte Einstellung der </w:t>
      </w:r>
      <w:r w:rsidR="005842CC">
        <w:rPr>
          <w:rFonts w:asciiTheme="majorHAnsi" w:hAnsiTheme="majorHAnsi" w:cstheme="majorHAnsi"/>
          <w:sz w:val="22"/>
          <w:lang w:val="de-DE"/>
        </w:rPr>
        <w:t>Pilota</w:t>
      </w:r>
      <w:r w:rsidR="005842CC" w:rsidRPr="005842CC">
        <w:rPr>
          <w:rFonts w:asciiTheme="majorHAnsi" w:hAnsiTheme="majorHAnsi" w:cstheme="majorHAnsi"/>
          <w:sz w:val="22"/>
          <w:lang w:val="de-DE"/>
        </w:rPr>
        <w:t>ktivitäten sicherzustellen.</w:t>
      </w:r>
      <w:r w:rsidR="005842CC">
        <w:rPr>
          <w:rFonts w:asciiTheme="majorHAnsi" w:hAnsiTheme="majorHAnsi" w:cstheme="majorHAnsi"/>
          <w:sz w:val="22"/>
          <w:lang w:val="de-DE"/>
        </w:rPr>
        <w:t xml:space="preserve"> </w:t>
      </w:r>
      <w:r w:rsidRPr="005842CC">
        <w:rPr>
          <w:rFonts w:asciiTheme="majorHAnsi" w:hAnsiTheme="majorHAnsi" w:cstheme="majorHAnsi"/>
          <w:sz w:val="22"/>
          <w:lang w:val="de-DE"/>
        </w:rPr>
        <w:t xml:space="preserve">Der Pilothändler wirkt an den </w:t>
      </w:r>
      <w:proofErr w:type="spellStart"/>
      <w:r w:rsidRPr="005842CC">
        <w:rPr>
          <w:rFonts w:asciiTheme="majorHAnsi" w:hAnsiTheme="majorHAnsi" w:cstheme="majorHAnsi"/>
          <w:sz w:val="22"/>
          <w:lang w:val="de-DE"/>
        </w:rPr>
        <w:t>Offboarding</w:t>
      </w:r>
      <w:proofErr w:type="spellEnd"/>
      <w:r w:rsidRPr="005842CC">
        <w:rPr>
          <w:rFonts w:asciiTheme="majorHAnsi" w:hAnsiTheme="majorHAnsi" w:cstheme="majorHAnsi"/>
          <w:sz w:val="22"/>
          <w:lang w:val="de-DE"/>
        </w:rPr>
        <w:t xml:space="preserve">-Prozessen des Pilot-Acquirers mit, auch wenn er selbst das </w:t>
      </w:r>
      <w:proofErr w:type="spellStart"/>
      <w:r w:rsidRPr="005842CC">
        <w:rPr>
          <w:rFonts w:asciiTheme="majorHAnsi" w:hAnsiTheme="majorHAnsi" w:cstheme="majorHAnsi"/>
          <w:sz w:val="22"/>
          <w:lang w:val="de-DE"/>
        </w:rPr>
        <w:t>Offboarding</w:t>
      </w:r>
      <w:proofErr w:type="spellEnd"/>
      <w:r w:rsidRPr="005842CC">
        <w:rPr>
          <w:rFonts w:asciiTheme="majorHAnsi" w:hAnsiTheme="majorHAnsi" w:cstheme="majorHAnsi"/>
          <w:sz w:val="22"/>
          <w:lang w:val="de-DE"/>
        </w:rPr>
        <w:t xml:space="preserve"> verlangt. </w:t>
      </w:r>
    </w:p>
    <w:p w14:paraId="26DDD340" w14:textId="77777777" w:rsidR="00EE5EF4" w:rsidRPr="009A0817" w:rsidRDefault="00EE5EF4">
      <w:pPr>
        <w:pStyle w:val="Clause"/>
        <w:numPr>
          <w:ilvl w:val="0"/>
          <w:numId w:val="30"/>
        </w:numPr>
        <w:jc w:val="both"/>
        <w:rPr>
          <w:rFonts w:asciiTheme="majorHAnsi" w:hAnsiTheme="majorHAnsi" w:cstheme="majorHAnsi"/>
          <w:sz w:val="22"/>
          <w:lang w:val="de-DE"/>
        </w:rPr>
      </w:pPr>
      <w:r w:rsidRPr="009A0817">
        <w:rPr>
          <w:rFonts w:asciiTheme="majorHAnsi" w:hAnsiTheme="majorHAnsi" w:cstheme="majorHAnsi"/>
          <w:sz w:val="22"/>
          <w:lang w:val="de-DE"/>
        </w:rPr>
        <w:t>Änderungen und Ergänzungen dieser Vereinbarung bedürfen mindestens der Textform und der Zustimmung beider Parteien, soweit nicht § 2 Absatz 10 ausdrücklich ein Anpassungsrecht der Bundesbank vorsieht. Mündliche Nebenabreden bestehen nicht.</w:t>
      </w:r>
      <w:r>
        <w:rPr>
          <w:rFonts w:asciiTheme="majorHAnsi" w:hAnsiTheme="majorHAnsi" w:cstheme="majorHAnsi"/>
          <w:sz w:val="22"/>
          <w:lang w:val="de-DE"/>
        </w:rPr>
        <w:t xml:space="preserve"> </w:t>
      </w:r>
      <w:r w:rsidRPr="0061662A">
        <w:rPr>
          <w:rFonts w:asciiTheme="majorHAnsi" w:hAnsiTheme="majorHAnsi" w:cstheme="majorHAnsi"/>
          <w:sz w:val="22"/>
          <w:lang w:val="de-DE"/>
        </w:rPr>
        <w:t xml:space="preserve">Dokumente, die nicht ausdrücklich in diese Vereinbarung oder nach § 3 Absatz </w:t>
      </w:r>
      <w:r>
        <w:rPr>
          <w:rFonts w:asciiTheme="majorHAnsi" w:hAnsiTheme="majorHAnsi" w:cstheme="majorHAnsi"/>
          <w:sz w:val="22"/>
          <w:lang w:val="de-DE"/>
        </w:rPr>
        <w:t>1</w:t>
      </w:r>
      <w:r w:rsidRPr="0061662A">
        <w:rPr>
          <w:rFonts w:asciiTheme="majorHAnsi" w:hAnsiTheme="majorHAnsi" w:cstheme="majorHAnsi"/>
          <w:sz w:val="22"/>
          <w:lang w:val="de-DE"/>
        </w:rPr>
        <w:t xml:space="preserve"> einbezogen sind, sind nicht Vertragsbestandteil.</w:t>
      </w:r>
    </w:p>
    <w:p w14:paraId="26FE05F5" w14:textId="77777777" w:rsidR="00EE5EF4" w:rsidRDefault="00EE5EF4" w:rsidP="00EE5EF4">
      <w:pPr>
        <w:pStyle w:val="berschrift1"/>
        <w:numPr>
          <w:ilvl w:val="0"/>
          <w:numId w:val="0"/>
        </w:numPr>
        <w:ind w:left="1134" w:hanging="1134"/>
        <w:rPr>
          <w:rFonts w:cstheme="majorHAnsi"/>
          <w:sz w:val="22"/>
          <w:szCs w:val="22"/>
        </w:rPr>
      </w:pPr>
      <w:r>
        <w:rPr>
          <w:rFonts w:cstheme="majorHAnsi"/>
          <w:sz w:val="22"/>
          <w:szCs w:val="22"/>
        </w:rPr>
        <w:t>§ 16 Salvatorische Klausel</w:t>
      </w:r>
    </w:p>
    <w:p w14:paraId="7A375B52" w14:textId="5B560B0B" w:rsidR="00EE5EF4" w:rsidRDefault="00EE5EF4">
      <w:pPr>
        <w:pStyle w:val="Clause"/>
        <w:numPr>
          <w:ilvl w:val="0"/>
          <w:numId w:val="49"/>
        </w:numPr>
        <w:rPr>
          <w:rFonts w:asciiTheme="majorHAnsi" w:hAnsiTheme="majorHAnsi" w:cstheme="majorHAnsi"/>
          <w:sz w:val="22"/>
          <w:lang w:val="de-DE"/>
        </w:rPr>
      </w:pPr>
      <w:r>
        <w:rPr>
          <w:rFonts w:asciiTheme="majorHAnsi" w:hAnsiTheme="majorHAnsi" w:cstheme="majorHAnsi"/>
          <w:sz w:val="22"/>
          <w:lang w:val="de-DE"/>
        </w:rPr>
        <w:t xml:space="preserve">Sollte eine Bestimmung dieser Vereinbarung ganz oder teilweise unwirksam, </w:t>
      </w:r>
      <w:r w:rsidR="00EC5907">
        <w:rPr>
          <w:rFonts w:asciiTheme="majorHAnsi" w:hAnsiTheme="majorHAnsi" w:cstheme="majorHAnsi"/>
          <w:sz w:val="22"/>
          <w:lang w:val="de-DE"/>
        </w:rPr>
        <w:t xml:space="preserve">rechtswidrig, </w:t>
      </w:r>
      <w:r>
        <w:rPr>
          <w:rFonts w:asciiTheme="majorHAnsi" w:hAnsiTheme="majorHAnsi" w:cstheme="majorHAnsi"/>
          <w:sz w:val="22"/>
          <w:lang w:val="de-DE"/>
        </w:rPr>
        <w:t>undurchführbar oder nichtig sein oder werden, bleib</w:t>
      </w:r>
      <w:r w:rsidR="00EC5907">
        <w:rPr>
          <w:rFonts w:asciiTheme="majorHAnsi" w:hAnsiTheme="majorHAnsi" w:cstheme="majorHAnsi"/>
          <w:sz w:val="22"/>
          <w:lang w:val="de-DE"/>
        </w:rPr>
        <w:t>t d</w:t>
      </w:r>
      <w:r w:rsidR="00EC5907" w:rsidRPr="00EC5907">
        <w:rPr>
          <w:rFonts w:asciiTheme="majorHAnsi" w:hAnsiTheme="majorHAnsi" w:cstheme="majorHAnsi"/>
          <w:sz w:val="22"/>
          <w:lang w:val="de-DE"/>
        </w:rPr>
        <w:t xml:space="preserve">ie Wirksamkeit, Rechtmäßigkeit und Durchsetzbarkeit der übrigen Bestimmungen dieser Teilnahmevereinbarung </w:t>
      </w:r>
      <w:r>
        <w:rPr>
          <w:rFonts w:asciiTheme="majorHAnsi" w:hAnsiTheme="majorHAnsi" w:cstheme="majorHAnsi"/>
          <w:sz w:val="22"/>
          <w:lang w:val="de-DE"/>
        </w:rPr>
        <w:t>unberührt.</w:t>
      </w:r>
    </w:p>
    <w:p w14:paraId="3DED4809" w14:textId="77777777" w:rsidR="00EC5907" w:rsidRPr="00EC5907" w:rsidRDefault="00EC5907" w:rsidP="00EC5907">
      <w:pPr>
        <w:pStyle w:val="Clause"/>
        <w:numPr>
          <w:ilvl w:val="0"/>
          <w:numId w:val="49"/>
        </w:numPr>
        <w:rPr>
          <w:rFonts w:asciiTheme="majorHAnsi" w:hAnsiTheme="majorHAnsi" w:cstheme="majorHAnsi"/>
          <w:sz w:val="22"/>
          <w:lang w:val="de-DE"/>
        </w:rPr>
      </w:pPr>
      <w:r w:rsidRPr="00EC5907">
        <w:rPr>
          <w:rFonts w:asciiTheme="majorHAnsi" w:hAnsiTheme="majorHAnsi" w:cstheme="majorHAnsi"/>
          <w:sz w:val="22"/>
          <w:lang w:val="de-DE"/>
        </w:rPr>
        <w:t>Die Parteien werden anstelle der unwirksamen, rechtswidrigen oder nicht durchsetzbaren Bestimmung eine wirksame, rechtmäßige und durchsetzbare Regelung vereinbaren, die dem wirtschaftlichen und rechtlichen Zweck der unwirksamen, rechtswidrigen oder nicht durchsetzbaren Bestimmung möglichst nahekommt. Kommt eine solche Vereinbarung nicht zustande, gelten die einschlägigen gesetzlichen Vorschriften.</w:t>
      </w:r>
    </w:p>
    <w:p w14:paraId="6CC6DB0D" w14:textId="77777777" w:rsidR="00EE5EF4" w:rsidRPr="009A0817" w:rsidRDefault="00EE5EF4" w:rsidP="00EE5EF4">
      <w:pPr>
        <w:pStyle w:val="berschrift1"/>
        <w:numPr>
          <w:ilvl w:val="0"/>
          <w:numId w:val="0"/>
        </w:numPr>
        <w:tabs>
          <w:tab w:val="right" w:pos="9638"/>
        </w:tabs>
        <w:ind w:left="1134" w:hanging="1134"/>
        <w:rPr>
          <w:rFonts w:cstheme="majorHAnsi"/>
          <w:sz w:val="22"/>
          <w:szCs w:val="22"/>
        </w:rPr>
      </w:pPr>
      <w:r w:rsidRPr="009A0817">
        <w:rPr>
          <w:rFonts w:cstheme="majorHAnsi"/>
          <w:sz w:val="22"/>
          <w:szCs w:val="22"/>
        </w:rPr>
        <w:t>Anhang A – Pilotzeitplan und Phasen</w:t>
      </w:r>
      <w:r>
        <w:rPr>
          <w:rFonts w:cstheme="majorHAnsi"/>
          <w:sz w:val="22"/>
          <w:szCs w:val="22"/>
        </w:rPr>
        <w:t xml:space="preserve"> sowie </w:t>
      </w:r>
      <w:r>
        <w:rPr>
          <w:rFonts w:cstheme="majorHAnsi"/>
          <w:sz w:val="22"/>
        </w:rPr>
        <w:t>Zugesagter Teilnahmezeitraum</w:t>
      </w:r>
    </w:p>
    <w:p w14:paraId="23CE830D" w14:textId="77777777" w:rsidR="00EE5EF4" w:rsidRDefault="00EE5EF4">
      <w:pPr>
        <w:pStyle w:val="Clause"/>
        <w:numPr>
          <w:ilvl w:val="0"/>
          <w:numId w:val="29"/>
        </w:numPr>
        <w:rPr>
          <w:rFonts w:asciiTheme="majorHAnsi" w:hAnsiTheme="majorHAnsi" w:cstheme="majorHAnsi"/>
          <w:sz w:val="22"/>
          <w:lang w:val="de-DE"/>
        </w:rPr>
      </w:pPr>
      <w:r>
        <w:rPr>
          <w:rFonts w:asciiTheme="majorHAnsi" w:hAnsiTheme="majorHAnsi" w:cstheme="majorHAnsi"/>
          <w:sz w:val="22"/>
          <w:lang w:val="de-DE"/>
        </w:rPr>
        <w:t xml:space="preserve">Die Operative Pilotphase beginnt mit der schriftlichen Betriebsfreigabe; Dauer und Verlängerung richten sich nach § 2 Absatz 4. Ein Anspruch auf Durchführung zu einem bestimmten Starttermin besteht nicht. </w:t>
      </w:r>
    </w:p>
    <w:p w14:paraId="448650FB" w14:textId="51FA1E7C" w:rsidR="00EE5EF4" w:rsidRPr="009A0817" w:rsidRDefault="00EE5EF4">
      <w:pPr>
        <w:pStyle w:val="Clause"/>
        <w:numPr>
          <w:ilvl w:val="0"/>
          <w:numId w:val="29"/>
        </w:numPr>
        <w:rPr>
          <w:rFonts w:asciiTheme="majorHAnsi" w:hAnsiTheme="majorHAnsi" w:cstheme="majorHAnsi"/>
          <w:sz w:val="22"/>
          <w:lang w:val="de-DE"/>
        </w:rPr>
      </w:pPr>
      <w:r>
        <w:rPr>
          <w:rFonts w:asciiTheme="majorHAnsi" w:hAnsiTheme="majorHAnsi" w:cstheme="majorHAnsi"/>
          <w:sz w:val="22"/>
          <w:lang w:val="de-DE"/>
        </w:rPr>
        <w:t>Für den Pilothändler gilt der folgende Zugesagte Teilnahmezeitraum: Teilnahmebeginn: [Beginn der Operativen Pilotphase / ●]; Dauer: [●] Monate (mindestens drei (3), höchstens zwölf (12) Monate); Teilnahmeende: [Datum ●] (§ 2 Absatz 4).</w:t>
      </w:r>
    </w:p>
    <w:p w14:paraId="6FDD7D0E" w14:textId="77777777" w:rsidR="00EE5EF4" w:rsidRPr="009A0817" w:rsidRDefault="00EE5EF4">
      <w:pPr>
        <w:pStyle w:val="Clause"/>
        <w:numPr>
          <w:ilvl w:val="0"/>
          <w:numId w:val="29"/>
        </w:numPr>
        <w:rPr>
          <w:rFonts w:asciiTheme="majorHAnsi" w:hAnsiTheme="majorHAnsi" w:cstheme="majorHAnsi"/>
          <w:sz w:val="22"/>
          <w:lang w:val="de-DE"/>
        </w:rPr>
      </w:pPr>
      <w:r w:rsidRPr="009A0817">
        <w:rPr>
          <w:rFonts w:asciiTheme="majorHAnsi" w:hAnsiTheme="majorHAnsi" w:cstheme="majorHAnsi"/>
          <w:sz w:val="22"/>
          <w:lang w:val="de-DE"/>
        </w:rPr>
        <w:lastRenderedPageBreak/>
        <w:t>Die Pilotentwicklungsphase umfasst insbesondere Onboarding, Integration, Tests, Abnahme und Betriebsbereitschaft. Die Bundesbank informiert den Pilothändler über wesentliche Änderungen des Zeitplans unverzüglich in Textform.</w:t>
      </w:r>
    </w:p>
    <w:p w14:paraId="1F13740E" w14:textId="77777777" w:rsidR="00EE5EF4" w:rsidRPr="009A0817" w:rsidRDefault="00EE5EF4" w:rsidP="00EE5EF4">
      <w:pPr>
        <w:pStyle w:val="berschrift1"/>
        <w:numPr>
          <w:ilvl w:val="0"/>
          <w:numId w:val="0"/>
        </w:numPr>
        <w:tabs>
          <w:tab w:val="right" w:pos="9638"/>
        </w:tabs>
        <w:ind w:left="1134" w:hanging="1134"/>
        <w:rPr>
          <w:rFonts w:cstheme="majorHAnsi"/>
          <w:sz w:val="22"/>
          <w:szCs w:val="22"/>
        </w:rPr>
      </w:pPr>
      <w:r w:rsidRPr="009A0817">
        <w:rPr>
          <w:rFonts w:cstheme="majorHAnsi"/>
          <w:sz w:val="22"/>
          <w:szCs w:val="22"/>
        </w:rPr>
        <w:t>Anhang B – Feedback- und Berichtsrahmen</w:t>
      </w:r>
    </w:p>
    <w:p w14:paraId="4857FB34" w14:textId="77777777" w:rsidR="00EE5EF4" w:rsidRPr="009A0817" w:rsidRDefault="00EE5EF4">
      <w:pPr>
        <w:pStyle w:val="Clause"/>
        <w:numPr>
          <w:ilvl w:val="0"/>
          <w:numId w:val="27"/>
        </w:numPr>
        <w:rPr>
          <w:rFonts w:asciiTheme="majorHAnsi" w:hAnsiTheme="majorHAnsi" w:cstheme="majorHAnsi"/>
          <w:sz w:val="22"/>
          <w:lang w:val="de-DE"/>
        </w:rPr>
      </w:pPr>
      <w:r>
        <w:rPr>
          <w:rFonts w:asciiTheme="majorHAnsi" w:hAnsiTheme="majorHAnsi" w:cstheme="majorHAnsi"/>
          <w:sz w:val="22"/>
          <w:lang w:val="de-DE"/>
        </w:rPr>
        <w:t>Der Pilothändler stellt der Bundesbank oder einer von ihr benannten Stelle, insbesondere der Europäischen Zentralbank oder dem Pilot-Acquirer, vor, während und nach der Operativen Pilotphase die für die Auswertung des Piloten erforderlichen strukturierten Rückmeldungen fristgerecht über den von der Bundesbank mitgeteilten Übermittlungsweg bereit.</w:t>
      </w:r>
    </w:p>
    <w:p w14:paraId="724CC39E" w14:textId="4A3A227E" w:rsidR="00EE5EF4" w:rsidRPr="009A0817" w:rsidRDefault="00EE5EF4">
      <w:pPr>
        <w:pStyle w:val="Clause"/>
        <w:numPr>
          <w:ilvl w:val="0"/>
          <w:numId w:val="27"/>
        </w:numPr>
        <w:rPr>
          <w:rFonts w:asciiTheme="majorHAnsi" w:hAnsiTheme="majorHAnsi" w:cstheme="majorHAnsi"/>
          <w:sz w:val="22"/>
          <w:lang w:val="de-DE"/>
        </w:rPr>
      </w:pPr>
      <w:r>
        <w:rPr>
          <w:rFonts w:asciiTheme="majorHAnsi" w:hAnsiTheme="majorHAnsi" w:cstheme="majorHAnsi"/>
          <w:sz w:val="22"/>
          <w:lang w:val="de-DE"/>
        </w:rPr>
        <w:t xml:space="preserve">Die Rückmeldungen betreffen insbesondere die Akzeptanzlösung, Point-of-Sale-Prozesse, Störungen und </w:t>
      </w:r>
      <w:r w:rsidRPr="008066D9">
        <w:rPr>
          <w:rFonts w:asciiTheme="majorHAnsi" w:hAnsiTheme="majorHAnsi" w:cstheme="majorHAnsi"/>
          <w:sz w:val="22"/>
          <w:lang w:val="de-DE"/>
        </w:rPr>
        <w:t xml:space="preserve">Stornierungen </w:t>
      </w:r>
      <w:r>
        <w:rPr>
          <w:rFonts w:asciiTheme="majorHAnsi" w:hAnsiTheme="majorHAnsi" w:cstheme="majorHAnsi"/>
          <w:sz w:val="22"/>
          <w:lang w:val="de-DE"/>
        </w:rPr>
        <w:t>sowie die Nutzererfahrung. Der Berichtsrahmen umfasst grundsätzlich aggregierte Angaben, insbesondere zu: (a) Anzahl und Anteil erfolgreicher, fehlgeschlagener und abgebrochener Pilottransaktionen; (b) Stornierungen und Erstattungen sowie hierbei auftretende Fehler oder Sonderfälle; (c) technische Störungen, Terminal- oder Akzeptanzprobleme, Unterbrechungen und Eskalationen; (d) Supportfälle und wiederkehrende Nutzerfragen ohne unnötige personenbezogene Angaben; (e) Erfahrungen mit Kassen-, Personal-, Logistik- und Betriebsprozessen am Pilotstandort; (f) Erfahrungen mit Onboarding, Tests, Schulungen, Support und der Zusammenarbeit mit dem Pilot-Acquirer; (g) qualitatives Feedback zu Nutzererfahrung, Verständlichkeit, Vertrauen und Akzeptanz; (h) Aufwand, betriebliche Belastungen und wesentliche Ursachen für Komplexität oder Verzögerungen. Schwerwiegende Störungen oder sicherheitsrelevante Vorfälle sind unverzüglich und unabhängig von den regulären Berichtszyklen über die benannten Eskalationswege zu melden.</w:t>
      </w:r>
    </w:p>
    <w:p w14:paraId="05F97A6A" w14:textId="2000C941" w:rsidR="00EE5EF4" w:rsidRPr="009A0817" w:rsidRDefault="00EE5EF4">
      <w:pPr>
        <w:pStyle w:val="Clause"/>
        <w:numPr>
          <w:ilvl w:val="0"/>
          <w:numId w:val="27"/>
        </w:numPr>
        <w:rPr>
          <w:rFonts w:asciiTheme="majorHAnsi" w:hAnsiTheme="majorHAnsi" w:cstheme="majorHAnsi"/>
          <w:sz w:val="22"/>
          <w:lang w:val="de-DE"/>
        </w:rPr>
      </w:pPr>
      <w:r>
        <w:rPr>
          <w:rFonts w:asciiTheme="majorHAnsi" w:hAnsiTheme="majorHAnsi" w:cstheme="majorHAnsi"/>
          <w:sz w:val="22"/>
          <w:lang w:val="de-DE"/>
        </w:rPr>
        <w:t xml:space="preserve">Umfang, Formate, </w:t>
      </w:r>
      <w:r w:rsidR="009C3428">
        <w:rPr>
          <w:rFonts w:asciiTheme="majorHAnsi" w:hAnsiTheme="majorHAnsi" w:cstheme="majorHAnsi"/>
          <w:sz w:val="22"/>
          <w:lang w:val="de-DE"/>
        </w:rPr>
        <w:t xml:space="preserve">Übermittlungsweg </w:t>
      </w:r>
      <w:r>
        <w:rPr>
          <w:rFonts w:asciiTheme="majorHAnsi" w:hAnsiTheme="majorHAnsi" w:cstheme="majorHAnsi"/>
          <w:sz w:val="22"/>
          <w:lang w:val="de-DE"/>
        </w:rPr>
        <w:t>und Fristen der Rückmeldungen teilt die Bundesbank dem Pilothändler rechtzeitig in Textform mit. Personenbezogene Daten sind nur im Rahmen von § 9 und nur soweit erforderlich zu übermitteln. Grundsätzlich sind aggregierte oder anonymisierte Angaben zu verwenden. Die Bundesbank benennt hierfür eine Ansprechstelle, stellt Vorlagen für die Berichte bereit und koordiniert die Weitergabe der Rückmeldungen an die Europäische Zentralbank und die übrigen am Piloten beteiligten Stellen (§ 10 Absatz 3, § 12 Absatz 2).</w:t>
      </w:r>
    </w:p>
    <w:p w14:paraId="4ED9EB48" w14:textId="77777777" w:rsidR="00EE5EF4" w:rsidRDefault="00EE5EF4">
      <w:pPr>
        <w:pStyle w:val="Clause"/>
        <w:numPr>
          <w:ilvl w:val="0"/>
          <w:numId w:val="27"/>
        </w:numPr>
        <w:rPr>
          <w:rFonts w:asciiTheme="majorHAnsi" w:hAnsiTheme="majorHAnsi" w:cstheme="majorHAnsi"/>
          <w:sz w:val="22"/>
          <w:lang w:val="de-DE"/>
        </w:rPr>
      </w:pPr>
      <w:r>
        <w:rPr>
          <w:rFonts w:asciiTheme="majorHAnsi" w:hAnsiTheme="majorHAnsi" w:cstheme="majorHAnsi"/>
          <w:sz w:val="22"/>
          <w:lang w:val="de-DE"/>
        </w:rPr>
        <w:t>Nach Ende seiner Teilnahme an der Operativen Pilotphase stellt der Pilothändler ein zusammenfassendes Abschlussfeedback zu Umsetzung, Betrieb, Nutzererfahrung und Verbesserungsmöglichkeiten bereit.</w:t>
      </w:r>
    </w:p>
    <w:p w14:paraId="1923FA88" w14:textId="77777777" w:rsidR="00EE5EF4" w:rsidRPr="009A0817" w:rsidRDefault="00EE5EF4" w:rsidP="00EE5EF4">
      <w:pPr>
        <w:pStyle w:val="berschrift1"/>
        <w:numPr>
          <w:ilvl w:val="0"/>
          <w:numId w:val="0"/>
        </w:numPr>
        <w:tabs>
          <w:tab w:val="right" w:pos="9638"/>
        </w:tabs>
        <w:ind w:left="1134" w:hanging="1134"/>
        <w:rPr>
          <w:rFonts w:cstheme="majorHAnsi"/>
          <w:sz w:val="22"/>
          <w:szCs w:val="22"/>
        </w:rPr>
      </w:pPr>
      <w:r w:rsidRPr="009A0817">
        <w:rPr>
          <w:rFonts w:cstheme="majorHAnsi"/>
          <w:sz w:val="22"/>
          <w:szCs w:val="22"/>
        </w:rPr>
        <w:t>Anhang C – Kommunikationsleitlinien</w:t>
      </w:r>
    </w:p>
    <w:p w14:paraId="144EF0ED" w14:textId="77777777" w:rsidR="00EE5EF4" w:rsidRPr="009A0817" w:rsidRDefault="00EE5EF4">
      <w:pPr>
        <w:pStyle w:val="Clause"/>
        <w:numPr>
          <w:ilvl w:val="0"/>
          <w:numId w:val="28"/>
        </w:numPr>
        <w:rPr>
          <w:rFonts w:asciiTheme="majorHAnsi" w:hAnsiTheme="majorHAnsi" w:cstheme="majorHAnsi"/>
          <w:sz w:val="22"/>
          <w:lang w:val="de-DE"/>
        </w:rPr>
      </w:pPr>
      <w:r>
        <w:rPr>
          <w:rFonts w:asciiTheme="majorHAnsi" w:hAnsiTheme="majorHAnsi" w:cstheme="majorHAnsi"/>
          <w:sz w:val="22"/>
          <w:lang w:val="de-DE"/>
        </w:rPr>
        <w:t>Namen, Marken, Logos oder sonstige Kennzeichen der Bundesbank, der Europäischen Zentralbank oder des Eurosystems darf der Pilothändler ohne gesonderte Freigabe nach § 8 Absatz 2 nur in Form der ihm von der Bundesbank bereitgestellten Materialien (§ 10 Absatz 2 Satz 2) verwenden.</w:t>
      </w:r>
    </w:p>
    <w:p w14:paraId="337D6C72" w14:textId="77777777" w:rsidR="00EE5EF4" w:rsidRPr="009A0817" w:rsidRDefault="00EE5EF4">
      <w:pPr>
        <w:pStyle w:val="Clause"/>
        <w:numPr>
          <w:ilvl w:val="0"/>
          <w:numId w:val="28"/>
        </w:numPr>
        <w:rPr>
          <w:rFonts w:asciiTheme="majorHAnsi" w:hAnsiTheme="majorHAnsi" w:cstheme="majorHAnsi"/>
          <w:sz w:val="22"/>
          <w:lang w:val="de-DE"/>
        </w:rPr>
      </w:pPr>
      <w:r>
        <w:rPr>
          <w:rFonts w:asciiTheme="majorHAnsi" w:hAnsiTheme="majorHAnsi" w:cstheme="majorHAnsi"/>
          <w:sz w:val="22"/>
          <w:lang w:val="de-DE"/>
        </w:rPr>
        <w:t>Foto-, Film- und Tonaufnahmen auf der Pilotfläche sowie die Nennung des konkreten Standorts in externen Darstellungen bedürfen der vorherigen schriftlichen Freigabe der Bundesbank.</w:t>
      </w:r>
    </w:p>
    <w:p w14:paraId="6DB61BAA" w14:textId="77777777" w:rsidR="00EE5EF4" w:rsidRDefault="00EE5EF4">
      <w:pPr>
        <w:pStyle w:val="Clause"/>
        <w:numPr>
          <w:ilvl w:val="0"/>
          <w:numId w:val="28"/>
        </w:numPr>
        <w:rPr>
          <w:rFonts w:asciiTheme="majorHAnsi" w:hAnsiTheme="majorHAnsi" w:cstheme="majorHAnsi"/>
          <w:sz w:val="22"/>
          <w:lang w:val="de-DE"/>
        </w:rPr>
      </w:pPr>
      <w:r>
        <w:rPr>
          <w:rFonts w:asciiTheme="majorHAnsi" w:hAnsiTheme="majorHAnsi" w:cstheme="majorHAnsi"/>
          <w:sz w:val="22"/>
          <w:lang w:val="de-DE"/>
        </w:rPr>
        <w:t>Der Pilothändler bezeichnet das Vorhaben als „Pilot zum digitalen Euro“ und die verwendete Zahlungslösung als „Beta-Version des digitalen Euro“ oder „Beta-Digital-Euro“.</w:t>
      </w:r>
    </w:p>
    <w:p w14:paraId="7E50492E" w14:textId="77777777" w:rsidR="00EE5EF4" w:rsidRDefault="00EE5EF4">
      <w:pPr>
        <w:pStyle w:val="Clause"/>
        <w:numPr>
          <w:ilvl w:val="0"/>
          <w:numId w:val="28"/>
        </w:numPr>
        <w:rPr>
          <w:rFonts w:asciiTheme="majorHAnsi" w:hAnsiTheme="majorHAnsi" w:cstheme="majorHAnsi"/>
          <w:sz w:val="22"/>
          <w:lang w:val="de-DE"/>
        </w:rPr>
      </w:pPr>
      <w:r>
        <w:rPr>
          <w:rFonts w:asciiTheme="majorHAnsi" w:hAnsiTheme="majorHAnsi" w:cstheme="majorHAnsi"/>
          <w:sz w:val="22"/>
          <w:lang w:val="de-DE"/>
        </w:rPr>
        <w:t>Medienanfragen mit Bezug zum Pilotbetrieb oder zur Beta-Version des digitalen Euro leitet der Pilothändler unverzüglich an die von der Bundesbank benannte Kommunikationsstelle (§ 8 Absatz 5) weiter oder stimmt die Antwort mit ihr ab.</w:t>
      </w:r>
    </w:p>
    <w:p w14:paraId="691476CC" w14:textId="77777777" w:rsidR="00EE5EF4" w:rsidRDefault="00EE5EF4">
      <w:pPr>
        <w:pStyle w:val="Clause"/>
        <w:numPr>
          <w:ilvl w:val="0"/>
          <w:numId w:val="28"/>
        </w:numPr>
        <w:rPr>
          <w:rFonts w:asciiTheme="majorHAnsi" w:hAnsiTheme="majorHAnsi" w:cstheme="majorHAnsi"/>
          <w:sz w:val="22"/>
          <w:lang w:val="de-DE"/>
        </w:rPr>
      </w:pPr>
      <w:r>
        <w:rPr>
          <w:rFonts w:asciiTheme="majorHAnsi" w:hAnsiTheme="majorHAnsi" w:cstheme="majorHAnsi"/>
          <w:sz w:val="22"/>
          <w:lang w:val="de-DE"/>
        </w:rPr>
        <w:lastRenderedPageBreak/>
        <w:t>Technische Störungen, Sicherheitsereignisse und sonstige Vertrauliche Informationen (§ 12) dürfen nicht öffentlich gemacht werden, soweit nicht eine rechtliche Pflicht hierzu besteht oder die Bundesbank der Veröffentlichung zugestimmt hat.</w:t>
      </w:r>
    </w:p>
    <w:p w14:paraId="511E7183" w14:textId="77777777" w:rsidR="00EE5EF4" w:rsidRDefault="00EE5EF4">
      <w:pPr>
        <w:pStyle w:val="Clause"/>
        <w:numPr>
          <w:ilvl w:val="0"/>
          <w:numId w:val="28"/>
        </w:numPr>
        <w:rPr>
          <w:rFonts w:asciiTheme="majorHAnsi" w:hAnsiTheme="majorHAnsi" w:cstheme="majorHAnsi"/>
          <w:sz w:val="22"/>
          <w:lang w:val="de-DE"/>
        </w:rPr>
      </w:pPr>
      <w:r>
        <w:rPr>
          <w:rFonts w:asciiTheme="majorHAnsi" w:hAnsiTheme="majorHAnsi" w:cstheme="majorHAnsi"/>
          <w:sz w:val="22"/>
          <w:lang w:val="de-DE"/>
        </w:rPr>
        <w:t>Hinweise für Individuelle Endnutzer am Verkaufsort, einschließlich Beschilderung und Erläuterungen zur Zahlungsannahme, werden vor Pilotstart mit der Bundesbank abgestimmt; § 10 Absatz 2 Satz 2 bleibt unberührt.</w:t>
      </w:r>
    </w:p>
    <w:p w14:paraId="17F57CAB" w14:textId="77777777" w:rsidR="00EE5EF4" w:rsidRPr="009A0817" w:rsidRDefault="00EE5EF4" w:rsidP="00EE5EF4">
      <w:pPr>
        <w:pStyle w:val="berschrift1"/>
        <w:numPr>
          <w:ilvl w:val="0"/>
          <w:numId w:val="0"/>
        </w:numPr>
        <w:tabs>
          <w:tab w:val="right" w:pos="9638"/>
        </w:tabs>
        <w:ind w:left="1134" w:hanging="1134"/>
        <w:rPr>
          <w:rFonts w:cstheme="majorHAnsi"/>
          <w:sz w:val="22"/>
          <w:szCs w:val="22"/>
        </w:rPr>
      </w:pPr>
      <w:r>
        <w:rPr>
          <w:rFonts w:cstheme="majorHAnsi"/>
          <w:sz w:val="22"/>
          <w:szCs w:val="22"/>
        </w:rPr>
        <w:t>Anhang D – Standort- und Flächennutzungsregelungen</w:t>
      </w:r>
    </w:p>
    <w:p w14:paraId="3FBC69F0" w14:textId="77777777" w:rsidR="00EE5EF4" w:rsidRPr="009A0817" w:rsidRDefault="00EE5EF4" w:rsidP="00EE5EF4">
      <w:pPr>
        <w:pStyle w:val="Clause"/>
        <w:rPr>
          <w:rFonts w:asciiTheme="majorHAnsi" w:hAnsiTheme="majorHAnsi" w:cstheme="majorHAnsi"/>
          <w:sz w:val="22"/>
          <w:lang w:val="de-DE"/>
        </w:rPr>
      </w:pPr>
      <w:r>
        <w:rPr>
          <w:rFonts w:asciiTheme="majorHAnsi" w:hAnsiTheme="majorHAnsi" w:cstheme="majorHAnsi"/>
          <w:sz w:val="22"/>
          <w:lang w:val="de-DE"/>
        </w:rPr>
        <w:t>1. Gegenstand und Rechtsnatur der Nutzung</w:t>
      </w:r>
    </w:p>
    <w:p w14:paraId="3A38F068" w14:textId="7A0FAE69" w:rsidR="00EE5EF4" w:rsidRPr="009A0817" w:rsidRDefault="00EE5EF4">
      <w:pPr>
        <w:pStyle w:val="Clause"/>
        <w:numPr>
          <w:ilvl w:val="0"/>
          <w:numId w:val="25"/>
        </w:numPr>
        <w:jc w:val="both"/>
        <w:rPr>
          <w:rFonts w:asciiTheme="majorHAnsi" w:hAnsiTheme="majorHAnsi" w:cstheme="majorHAnsi"/>
          <w:sz w:val="22"/>
          <w:lang w:val="de-DE"/>
        </w:rPr>
      </w:pPr>
      <w:r>
        <w:rPr>
          <w:rFonts w:asciiTheme="majorHAnsi" w:hAnsiTheme="majorHAnsi" w:cstheme="majorHAnsi"/>
          <w:sz w:val="22"/>
          <w:lang w:val="de-DE"/>
        </w:rPr>
        <w:t>Die Bundesbank gestattet dem Pilothändler ab Freigabe des Stand- und Betriebskonzepts nach Nummer 8 bis zum Ende dieser Vereinbarung die unentgeltliche, befristete, nicht ausschließliche und aus wichtigem Grund widerrufliche Nutzung der Pilotfläche auf einer Liegenschaft der Bundesbank. Die Nutzung ist ausschließlich zur Durchführung des stationären Pilotbetriebs einschließlich Aufbau, Tests und Räumung mit der Beta-Version des digitalen Euro und innerhalb der Betriebszeiten zulässig. Nach dem Ende dieser Vereinbarung darf die Pilotfläche nur noch zur Räumung innerhalb der Frist nach § 6 Absatz 3 betreten werden.</w:t>
      </w:r>
    </w:p>
    <w:p w14:paraId="356BA5EA" w14:textId="77777777" w:rsidR="00EE5EF4" w:rsidRPr="009A0817" w:rsidRDefault="00EE5EF4">
      <w:pPr>
        <w:pStyle w:val="Clause"/>
        <w:numPr>
          <w:ilvl w:val="0"/>
          <w:numId w:val="25"/>
        </w:numPr>
        <w:jc w:val="both"/>
        <w:rPr>
          <w:rFonts w:asciiTheme="majorHAnsi" w:hAnsiTheme="majorHAnsi" w:cstheme="majorHAnsi"/>
          <w:sz w:val="22"/>
          <w:lang w:val="de-DE"/>
        </w:rPr>
      </w:pPr>
      <w:r>
        <w:rPr>
          <w:rFonts w:asciiTheme="majorHAnsi" w:hAnsiTheme="majorHAnsi" w:cstheme="majorHAnsi"/>
          <w:sz w:val="22"/>
          <w:lang w:val="de-DE"/>
        </w:rPr>
        <w:t>Die Pilotfläche ist nicht öffentlich zugänglich</w:t>
      </w:r>
      <w:r w:rsidRPr="007248A8">
        <w:rPr>
          <w:rFonts w:asciiTheme="majorHAnsi" w:hAnsiTheme="majorHAnsi" w:cstheme="majorHAnsi"/>
          <w:sz w:val="22"/>
          <w:lang w:val="de-DE"/>
        </w:rPr>
        <w:t xml:space="preserve">; einkaufsberechtigt sind ausschließlich die für den Pilot zugelassenen </w:t>
      </w:r>
      <w:r>
        <w:rPr>
          <w:rFonts w:asciiTheme="majorHAnsi" w:hAnsiTheme="majorHAnsi" w:cstheme="majorHAnsi"/>
          <w:sz w:val="22"/>
          <w:lang w:val="de-DE"/>
        </w:rPr>
        <w:t>I</w:t>
      </w:r>
      <w:r w:rsidRPr="007248A8">
        <w:rPr>
          <w:rFonts w:asciiTheme="majorHAnsi" w:hAnsiTheme="majorHAnsi" w:cstheme="majorHAnsi"/>
          <w:sz w:val="22"/>
          <w:lang w:val="de-DE"/>
        </w:rPr>
        <w:t xml:space="preserve">ndividuellen Endnutzer. </w:t>
      </w:r>
      <w:r>
        <w:rPr>
          <w:rFonts w:asciiTheme="majorHAnsi" w:hAnsiTheme="majorHAnsi" w:cstheme="majorHAnsi"/>
          <w:sz w:val="22"/>
          <w:lang w:val="de-DE"/>
        </w:rPr>
        <w:t>Eine Gebrauchsüberlassung der Pilotfläche an Dritte bedarf der vorherigen ausdrücklichen Zustimmung der Bundesbank.</w:t>
      </w:r>
    </w:p>
    <w:p w14:paraId="7DC8DD91" w14:textId="77777777" w:rsidR="00EE5EF4" w:rsidRPr="009A0817" w:rsidRDefault="00EE5EF4" w:rsidP="00EE5EF4">
      <w:pPr>
        <w:pStyle w:val="Clause"/>
        <w:rPr>
          <w:rFonts w:asciiTheme="majorHAnsi" w:hAnsiTheme="majorHAnsi" w:cstheme="majorHAnsi"/>
          <w:sz w:val="22"/>
          <w:lang w:val="de-DE"/>
        </w:rPr>
      </w:pPr>
      <w:r>
        <w:rPr>
          <w:rFonts w:asciiTheme="majorHAnsi" w:hAnsiTheme="majorHAnsi" w:cstheme="majorHAnsi"/>
          <w:sz w:val="22"/>
          <w:lang w:val="de-DE"/>
        </w:rPr>
        <w:t>2. Pilotfläche und Vorrang des Liegenschaftsbetriebs</w:t>
      </w:r>
    </w:p>
    <w:p w14:paraId="1DE90288" w14:textId="7197BC38" w:rsidR="00EE5EF4" w:rsidRPr="009A0817" w:rsidRDefault="00EE5EF4">
      <w:pPr>
        <w:pStyle w:val="Clause"/>
        <w:numPr>
          <w:ilvl w:val="0"/>
          <w:numId w:val="24"/>
        </w:numPr>
        <w:rPr>
          <w:rFonts w:asciiTheme="majorHAnsi" w:hAnsiTheme="majorHAnsi" w:cstheme="majorHAnsi"/>
          <w:sz w:val="22"/>
          <w:lang w:val="de-DE"/>
        </w:rPr>
      </w:pPr>
      <w:r>
        <w:rPr>
          <w:rFonts w:asciiTheme="majorHAnsi" w:hAnsiTheme="majorHAnsi" w:cstheme="majorHAnsi"/>
          <w:sz w:val="22"/>
          <w:lang w:val="de-DE"/>
        </w:rPr>
        <w:t>Die Pilotfläche befindet sich auf einer von der Bundesbank bestimmten Liegenschaft in Frankfurt am Main. Anschrift, Gebäudeteil, Räume, etwaige Lagerbereiche, Zugangswege sowie zulässige Nutzungs- und Standflächen ergeben sich aus dem gemäß Anhang D1 vor Betriebsaufnahme</w:t>
      </w:r>
      <w:r w:rsidR="005054DE">
        <w:rPr>
          <w:rFonts w:asciiTheme="majorHAnsi" w:hAnsiTheme="majorHAnsi" w:cstheme="majorHAnsi"/>
          <w:sz w:val="22"/>
          <w:lang w:val="de-DE"/>
        </w:rPr>
        <w:t xml:space="preserve"> im Stand- und Betriebskonzept abgestimmten</w:t>
      </w:r>
      <w:r>
        <w:rPr>
          <w:rFonts w:asciiTheme="majorHAnsi" w:hAnsiTheme="majorHAnsi" w:cstheme="majorHAnsi"/>
          <w:sz w:val="22"/>
          <w:lang w:val="de-DE"/>
        </w:rPr>
        <w:t xml:space="preserve"> und freigegebenen Lage- und Standplan.</w:t>
      </w:r>
    </w:p>
    <w:p w14:paraId="0F12E2D1" w14:textId="04D7CAC0" w:rsidR="00EE5EF4" w:rsidRPr="009A0817" w:rsidRDefault="00EE5EF4">
      <w:pPr>
        <w:pStyle w:val="Clause"/>
        <w:numPr>
          <w:ilvl w:val="0"/>
          <w:numId w:val="24"/>
        </w:numPr>
        <w:rPr>
          <w:rFonts w:asciiTheme="majorHAnsi" w:hAnsiTheme="majorHAnsi" w:cstheme="majorHAnsi"/>
          <w:sz w:val="22"/>
          <w:lang w:val="de-DE"/>
        </w:rPr>
      </w:pPr>
      <w:r>
        <w:rPr>
          <w:rFonts w:asciiTheme="majorHAnsi" w:hAnsiTheme="majorHAnsi" w:cstheme="majorHAnsi"/>
          <w:sz w:val="22"/>
          <w:lang w:val="de-DE"/>
        </w:rPr>
        <w:t xml:space="preserve">Die Aufnahme des Betriebs auf der Pilotfläche setzt voraus, dass die für die konkrete Nutzung erforderlichen Freigaben der zuständigen Stellen der Bundesbank, insbesondere zu Liegenschaftsbetrieb, Brandschutz und IT-Sicherheit sowie, soweit im Einzelfall erforderlich, behördliche Genehmigungen vorliegen. Der Pilothändler stellt die hierfür erforderlichen Angaben und Unterlagen zu seinen Einrichtungen, Geräten und Betriebsabläufen rechtzeitig </w:t>
      </w:r>
      <w:r w:rsidR="005054DE">
        <w:rPr>
          <w:rFonts w:asciiTheme="majorHAnsi" w:hAnsiTheme="majorHAnsi" w:cstheme="majorHAnsi"/>
          <w:sz w:val="22"/>
          <w:lang w:val="de-DE"/>
        </w:rPr>
        <w:t>im Stand und Betri</w:t>
      </w:r>
      <w:r w:rsidR="009C3428">
        <w:rPr>
          <w:rFonts w:asciiTheme="majorHAnsi" w:hAnsiTheme="majorHAnsi" w:cstheme="majorHAnsi"/>
          <w:sz w:val="22"/>
          <w:lang w:val="de-DE"/>
        </w:rPr>
        <w:t>e</w:t>
      </w:r>
      <w:r w:rsidR="005054DE">
        <w:rPr>
          <w:rFonts w:asciiTheme="majorHAnsi" w:hAnsiTheme="majorHAnsi" w:cstheme="majorHAnsi"/>
          <w:sz w:val="22"/>
          <w:lang w:val="de-DE"/>
        </w:rPr>
        <w:t xml:space="preserve">bskonzept </w:t>
      </w:r>
      <w:r>
        <w:rPr>
          <w:rFonts w:asciiTheme="majorHAnsi" w:hAnsiTheme="majorHAnsi" w:cstheme="majorHAnsi"/>
          <w:sz w:val="22"/>
          <w:lang w:val="de-DE"/>
        </w:rPr>
        <w:t>bereit. Anzeigen, Registrierungen</w:t>
      </w:r>
      <w:r w:rsidR="00FC481F">
        <w:rPr>
          <w:rFonts w:asciiTheme="majorHAnsi" w:hAnsiTheme="majorHAnsi" w:cstheme="majorHAnsi"/>
          <w:sz w:val="22"/>
          <w:lang w:val="de-DE"/>
        </w:rPr>
        <w:t xml:space="preserve">, </w:t>
      </w:r>
      <w:r>
        <w:rPr>
          <w:rFonts w:asciiTheme="majorHAnsi" w:hAnsiTheme="majorHAnsi" w:cstheme="majorHAnsi"/>
          <w:sz w:val="22"/>
          <w:lang w:val="de-DE"/>
        </w:rPr>
        <w:t>Erlaubnisse</w:t>
      </w:r>
      <w:r w:rsidR="00FC481F">
        <w:rPr>
          <w:rFonts w:asciiTheme="majorHAnsi" w:hAnsiTheme="majorHAnsi" w:cstheme="majorHAnsi"/>
          <w:sz w:val="22"/>
          <w:lang w:val="de-DE"/>
        </w:rPr>
        <w:t xml:space="preserve"> </w:t>
      </w:r>
      <w:r w:rsidR="00FC481F" w:rsidRPr="00FC481F">
        <w:rPr>
          <w:rFonts w:asciiTheme="majorHAnsi" w:hAnsiTheme="majorHAnsi" w:cstheme="majorHAnsi"/>
          <w:sz w:val="22"/>
          <w:lang w:val="de-DE"/>
        </w:rPr>
        <w:t>sowie, soweit im Einzelfall erforderlich, behördliche Genehmigungen</w:t>
      </w:r>
      <w:r>
        <w:rPr>
          <w:rFonts w:asciiTheme="majorHAnsi" w:hAnsiTheme="majorHAnsi" w:cstheme="majorHAnsi"/>
          <w:sz w:val="22"/>
          <w:lang w:val="de-DE"/>
        </w:rPr>
        <w:t>, die den Geschäftsbetrieb des Pilothändlers betreffen, insbesondere nach Gewerbe- und Lebensmittelrecht, obliegen dem Pilothändler. Die Bundesbank teilt dem Pilothändler vor Betriebsaufnahme die verbindlich freigegebene Fläche, die zulässige Standanordnung sowie gegebenenfalls einzuhaltende Auflagen in Textform oder durch einen freigegebenen Lage- und Standplan mit.</w:t>
      </w:r>
    </w:p>
    <w:p w14:paraId="6294235F" w14:textId="40519CF1" w:rsidR="00EE5EF4" w:rsidRPr="009A0817" w:rsidRDefault="00EE5EF4">
      <w:pPr>
        <w:pStyle w:val="Clause"/>
        <w:numPr>
          <w:ilvl w:val="0"/>
          <w:numId w:val="24"/>
        </w:numPr>
        <w:rPr>
          <w:rFonts w:asciiTheme="majorHAnsi" w:hAnsiTheme="majorHAnsi" w:cstheme="majorHAnsi"/>
          <w:sz w:val="22"/>
          <w:lang w:val="de-DE"/>
        </w:rPr>
      </w:pPr>
      <w:r>
        <w:rPr>
          <w:rFonts w:asciiTheme="majorHAnsi" w:hAnsiTheme="majorHAnsi" w:cstheme="majorHAnsi"/>
          <w:sz w:val="22"/>
          <w:lang w:val="de-DE"/>
        </w:rPr>
        <w:t>Soweit erforderliche Freigaben nicht, nicht rechtzeitig oder nur unter Auflagen erteilt werden (</w:t>
      </w:r>
      <w:proofErr w:type="gramStart"/>
      <w:r>
        <w:rPr>
          <w:rFonts w:asciiTheme="majorHAnsi" w:hAnsiTheme="majorHAnsi" w:cstheme="majorHAnsi"/>
          <w:sz w:val="22"/>
          <w:lang w:val="de-DE"/>
        </w:rPr>
        <w:t>etwa</w:t>
      </w:r>
      <w:proofErr w:type="gramEnd"/>
      <w:r>
        <w:rPr>
          <w:rFonts w:asciiTheme="majorHAnsi" w:hAnsiTheme="majorHAnsi" w:cstheme="majorHAnsi"/>
          <w:sz w:val="22"/>
          <w:lang w:val="de-DE"/>
        </w:rPr>
        <w:t xml:space="preserve"> wenn eine Standfläche aus Brandschutzgründen nicht oder nur mit Auflagen zu Geräten, Lagermengen</w:t>
      </w:r>
      <w:r w:rsidR="005054DE">
        <w:rPr>
          <w:rFonts w:asciiTheme="majorHAnsi" w:hAnsiTheme="majorHAnsi" w:cstheme="majorHAnsi"/>
          <w:sz w:val="22"/>
          <w:lang w:val="de-DE"/>
        </w:rPr>
        <w:t>, Brandlasten</w:t>
      </w:r>
      <w:r>
        <w:rPr>
          <w:rFonts w:asciiTheme="majorHAnsi" w:hAnsiTheme="majorHAnsi" w:cstheme="majorHAnsi"/>
          <w:sz w:val="22"/>
          <w:lang w:val="de-DE"/>
        </w:rPr>
        <w:t xml:space="preserve"> oder Rettungswegen freigegeben wird), kann die Bundesbank die Flächenzuweisung anpassen, den Betriebsbeginn verschieben oder von der Bereitstellung der betroffenen Fläche absehen. </w:t>
      </w:r>
    </w:p>
    <w:p w14:paraId="681DDD3C" w14:textId="60606C98" w:rsidR="00EE5EF4" w:rsidRPr="009A0817" w:rsidRDefault="00EE5EF4">
      <w:pPr>
        <w:pStyle w:val="Clause"/>
        <w:numPr>
          <w:ilvl w:val="0"/>
          <w:numId w:val="24"/>
        </w:numPr>
        <w:rPr>
          <w:rFonts w:asciiTheme="majorHAnsi" w:hAnsiTheme="majorHAnsi" w:cstheme="majorHAnsi"/>
          <w:sz w:val="22"/>
          <w:lang w:val="de-DE"/>
        </w:rPr>
      </w:pPr>
      <w:r>
        <w:rPr>
          <w:rFonts w:asciiTheme="majorHAnsi" w:hAnsiTheme="majorHAnsi" w:cstheme="majorHAnsi"/>
          <w:sz w:val="22"/>
          <w:lang w:val="de-DE"/>
        </w:rPr>
        <w:t xml:space="preserve">Der freigegebene Lage- und Standplan (Anhang D1) </w:t>
      </w:r>
      <w:r w:rsidR="005054DE">
        <w:rPr>
          <w:rFonts w:asciiTheme="majorHAnsi" w:hAnsiTheme="majorHAnsi" w:cstheme="majorHAnsi"/>
          <w:sz w:val="22"/>
          <w:lang w:val="de-DE"/>
        </w:rPr>
        <w:t>sowie das Stand- und Betr</w:t>
      </w:r>
      <w:r w:rsidR="001E29BE">
        <w:rPr>
          <w:rFonts w:asciiTheme="majorHAnsi" w:hAnsiTheme="majorHAnsi" w:cstheme="majorHAnsi"/>
          <w:sz w:val="22"/>
          <w:lang w:val="de-DE"/>
        </w:rPr>
        <w:t>ie</w:t>
      </w:r>
      <w:r w:rsidR="005054DE">
        <w:rPr>
          <w:rFonts w:asciiTheme="majorHAnsi" w:hAnsiTheme="majorHAnsi" w:cstheme="majorHAnsi"/>
          <w:sz w:val="22"/>
          <w:lang w:val="de-DE"/>
        </w:rPr>
        <w:t>bskonzept wird</w:t>
      </w:r>
      <w:r>
        <w:rPr>
          <w:rFonts w:asciiTheme="majorHAnsi" w:hAnsiTheme="majorHAnsi" w:cstheme="majorHAnsi"/>
          <w:sz w:val="22"/>
          <w:lang w:val="de-DE"/>
        </w:rPr>
        <w:t xml:space="preserve"> Bestandteil der Standortregelungen. </w:t>
      </w:r>
    </w:p>
    <w:p w14:paraId="604BEB5B" w14:textId="77777777" w:rsidR="00EE5EF4" w:rsidRPr="009A0817" w:rsidRDefault="00EE5EF4" w:rsidP="00EE5EF4">
      <w:pPr>
        <w:pStyle w:val="Clause"/>
        <w:rPr>
          <w:rFonts w:asciiTheme="majorHAnsi" w:hAnsiTheme="majorHAnsi" w:cstheme="majorHAnsi"/>
          <w:sz w:val="22"/>
          <w:lang w:val="de-DE"/>
        </w:rPr>
      </w:pPr>
      <w:r>
        <w:rPr>
          <w:rFonts w:asciiTheme="majorHAnsi" w:hAnsiTheme="majorHAnsi" w:cstheme="majorHAnsi"/>
          <w:sz w:val="22"/>
          <w:lang w:val="de-DE"/>
        </w:rPr>
        <w:t>3. Zutritt, Zuverlässigkeitsüberprüfung und Zugangskarte</w:t>
      </w:r>
    </w:p>
    <w:p w14:paraId="5B90F958" w14:textId="4FC3E332" w:rsidR="00EE5EF4" w:rsidRPr="00E843CF" w:rsidRDefault="00EE5EF4">
      <w:pPr>
        <w:pStyle w:val="Clause"/>
        <w:numPr>
          <w:ilvl w:val="0"/>
          <w:numId w:val="42"/>
        </w:numPr>
        <w:rPr>
          <w:rFonts w:asciiTheme="majorHAnsi" w:hAnsiTheme="majorHAnsi" w:cstheme="majorHAnsi"/>
          <w:sz w:val="22"/>
          <w:lang w:val="de-DE"/>
        </w:rPr>
      </w:pPr>
      <w:r>
        <w:rPr>
          <w:rFonts w:asciiTheme="majorHAnsi" w:hAnsiTheme="majorHAnsi" w:cstheme="majorHAnsi"/>
          <w:sz w:val="22"/>
          <w:lang w:val="de-DE"/>
        </w:rPr>
        <w:t xml:space="preserve">Der Zutritt zur Liegenschaft und zur Pilotfläche ist nur Personen gestattet, die von der Bundesbank zugelassen, soweit vorgegeben vorab angemeldet und – sofern sie eine eigene </w:t>
      </w:r>
      <w:r>
        <w:rPr>
          <w:rFonts w:asciiTheme="majorHAnsi" w:hAnsiTheme="majorHAnsi" w:cstheme="majorHAnsi"/>
          <w:sz w:val="22"/>
          <w:lang w:val="de-DE"/>
        </w:rPr>
        <w:lastRenderedPageBreak/>
        <w:t xml:space="preserve">Zugangskarte erhalten sollen – erfolgreich einer Zuverlässigkeitsüberprüfung unterzogen wurden. Die hierfür erforderlichen personenbezogenen Daten verarbeitet die Bundesbank nach dem von ihr vorgegebenen Verfahren und den geltenden Datenschutzvorschriften; der Pilothändler leitet die ihm </w:t>
      </w:r>
      <w:r w:rsidRPr="00E843CF">
        <w:rPr>
          <w:rFonts w:asciiTheme="majorHAnsi" w:hAnsiTheme="majorHAnsi" w:cstheme="majorHAnsi"/>
          <w:sz w:val="22"/>
          <w:lang w:val="de-DE"/>
        </w:rPr>
        <w:t>hierfür von der Bundesbank bereitgestellten Datenschutzhinweise vor der Übermittlung an die betroffenen Personen weiter. Die hierfür erforderlichen Angaben und Einverständniserklärungen der betroffenen Personen reicht der Pilothändler vollständig und spätestens vier (4) Wochen vor dem vorgesehenen Einsatz bei der Bundesbank ein; dies gilt auch für Vertretungs- und Ersatzpersonal.</w:t>
      </w:r>
    </w:p>
    <w:p w14:paraId="24B5DE2A" w14:textId="77777777" w:rsidR="00BA7331" w:rsidRPr="00E843CF" w:rsidRDefault="00BA7331" w:rsidP="00BA7331">
      <w:pPr>
        <w:pStyle w:val="Clause"/>
        <w:numPr>
          <w:ilvl w:val="0"/>
          <w:numId w:val="42"/>
        </w:numPr>
        <w:rPr>
          <w:rFonts w:asciiTheme="majorHAnsi" w:hAnsiTheme="majorHAnsi" w:cstheme="majorHAnsi"/>
          <w:sz w:val="22"/>
          <w:lang w:val="de-DE"/>
        </w:rPr>
      </w:pPr>
      <w:r w:rsidRPr="00E843CF">
        <w:rPr>
          <w:rFonts w:asciiTheme="majorHAnsi" w:hAnsiTheme="majorHAnsi" w:cstheme="majorHAnsi"/>
          <w:sz w:val="22"/>
          <w:lang w:val="de-DE"/>
        </w:rPr>
        <w:t>Die Bundesbank kann Zutrittsberechtigungen aus Sicherheits- oder Betriebsgründen zeitlich, räumlich und funktional beschränken oder anpassen; Zugangskarten kann sie sperren oder einziehen. Wird die erforderliche Zuverlässigkeitsüberprüfung nicht erfolgreich abgeschlossen oder wird eine erteilte Zutrittsberechtigung aus Sicherheitsgründen widerrufen, besteht für die betreffende Person kein Zutrittsrecht.</w:t>
      </w:r>
    </w:p>
    <w:p w14:paraId="63BA8566" w14:textId="773C2F1E" w:rsidR="00EE5EF4" w:rsidRPr="00E843CF" w:rsidRDefault="00EE5EF4">
      <w:pPr>
        <w:pStyle w:val="Clause"/>
        <w:numPr>
          <w:ilvl w:val="0"/>
          <w:numId w:val="42"/>
        </w:numPr>
        <w:rPr>
          <w:rFonts w:asciiTheme="majorHAnsi" w:hAnsiTheme="majorHAnsi" w:cstheme="majorHAnsi"/>
          <w:sz w:val="22"/>
          <w:lang w:val="de-DE"/>
        </w:rPr>
      </w:pPr>
      <w:r w:rsidRPr="00E843CF">
        <w:rPr>
          <w:rFonts w:asciiTheme="majorHAnsi" w:hAnsiTheme="majorHAnsi" w:cstheme="majorHAnsi"/>
          <w:sz w:val="22"/>
          <w:lang w:val="de-DE"/>
        </w:rPr>
        <w:t>Die konkrete Ausgestaltung des Zutrittsverfahrens, insbesondere die Art der Ausweise oder Zugangskarten, Berechtigungszonen, Zutrittszeiten, Voranmeldung von Lieferanten und erforderliche Sicherheitsunterweisungen, richtet sich nach dem Regelblatt in Anhang D2.</w:t>
      </w:r>
    </w:p>
    <w:p w14:paraId="059C917F" w14:textId="77777777" w:rsidR="00EE5EF4" w:rsidRPr="00E843CF" w:rsidRDefault="00EE5EF4" w:rsidP="00EE5EF4">
      <w:pPr>
        <w:pStyle w:val="Clause"/>
        <w:rPr>
          <w:rFonts w:asciiTheme="majorHAnsi" w:hAnsiTheme="majorHAnsi" w:cstheme="majorHAnsi"/>
          <w:sz w:val="22"/>
          <w:lang w:val="de-DE"/>
        </w:rPr>
      </w:pPr>
      <w:r w:rsidRPr="00E843CF">
        <w:rPr>
          <w:rFonts w:asciiTheme="majorHAnsi" w:hAnsiTheme="majorHAnsi" w:cstheme="majorHAnsi"/>
          <w:sz w:val="22"/>
          <w:lang w:val="de-DE"/>
        </w:rPr>
        <w:t>4. Infrastruktur und technische Ausstattung</w:t>
      </w:r>
    </w:p>
    <w:p w14:paraId="628656C7" w14:textId="45E55855" w:rsidR="00EE5EF4" w:rsidRPr="00E843CF" w:rsidRDefault="00EE5EF4">
      <w:pPr>
        <w:pStyle w:val="Clause"/>
        <w:numPr>
          <w:ilvl w:val="0"/>
          <w:numId w:val="43"/>
        </w:numPr>
        <w:rPr>
          <w:rFonts w:asciiTheme="majorHAnsi" w:hAnsiTheme="majorHAnsi" w:cstheme="majorHAnsi"/>
          <w:sz w:val="22"/>
          <w:lang w:val="de-DE"/>
        </w:rPr>
      </w:pPr>
      <w:r w:rsidRPr="00E843CF">
        <w:rPr>
          <w:rFonts w:asciiTheme="majorHAnsi" w:hAnsiTheme="majorHAnsi" w:cstheme="majorHAnsi"/>
          <w:sz w:val="22"/>
          <w:lang w:val="de-DE"/>
        </w:rPr>
        <w:t>Die Bundesbank stellt die Leistungen gemäß dem Standortblatt (Anhang D1) bereit. Der Pilothändler stellt die für seinen Betrieb erforderlichen Endgeräte, Anschluss- und Verlängerungskabel sowie sonstigen Betriebsmittel selbst bereit. Eigene Router, Access Points, Switches, Hotspots oder sonstige Netzwerkkomponenten dürfen nur mit vorheriger Zustimmung der Bundesbank eingesetzt werden. Dem eingesetzten Personal stehen die im Standortblatt (Anhang D1) bezeichneten Sanitärräume sowie, soweit dort ausgewiesen, ein Pausenraum der Liegenschaft zur Mitbenutzung zur Verfügung; weitere Bereiche der Liegenschaft dürfen nur betreten</w:t>
      </w:r>
      <w:r w:rsidR="00BA7331">
        <w:rPr>
          <w:rFonts w:asciiTheme="majorHAnsi" w:hAnsiTheme="majorHAnsi" w:cstheme="majorHAnsi"/>
          <w:sz w:val="22"/>
          <w:lang w:val="de-DE"/>
        </w:rPr>
        <w:t xml:space="preserve"> werden</w:t>
      </w:r>
      <w:r w:rsidRPr="00E843CF">
        <w:rPr>
          <w:rFonts w:asciiTheme="majorHAnsi" w:hAnsiTheme="majorHAnsi" w:cstheme="majorHAnsi"/>
          <w:sz w:val="22"/>
          <w:lang w:val="de-DE"/>
        </w:rPr>
        <w:t>, soweit das Regelblatt (Anhang D2) dies vorsieht.</w:t>
      </w:r>
    </w:p>
    <w:p w14:paraId="56BBFF7C" w14:textId="18E9B365" w:rsidR="00EE5EF4" w:rsidRPr="00E843CF" w:rsidRDefault="00EE5EF4">
      <w:pPr>
        <w:pStyle w:val="Clause"/>
        <w:numPr>
          <w:ilvl w:val="0"/>
          <w:numId w:val="43"/>
        </w:numPr>
        <w:rPr>
          <w:rFonts w:asciiTheme="majorHAnsi" w:hAnsiTheme="majorHAnsi" w:cstheme="majorHAnsi"/>
          <w:sz w:val="22"/>
          <w:lang w:val="de-DE"/>
        </w:rPr>
      </w:pPr>
      <w:r w:rsidRPr="00E843CF">
        <w:rPr>
          <w:rFonts w:asciiTheme="majorHAnsi" w:hAnsiTheme="majorHAnsi" w:cstheme="majorHAnsi"/>
          <w:sz w:val="22"/>
          <w:lang w:val="de-DE"/>
        </w:rPr>
        <w:t xml:space="preserve">Der konkrete Infrastrukturbedarf des Pilothändlers ist rechtzeitig vor Betriebsaufnahme </w:t>
      </w:r>
      <w:r w:rsidR="00241A96" w:rsidRPr="00E843CF">
        <w:rPr>
          <w:rFonts w:asciiTheme="majorHAnsi" w:hAnsiTheme="majorHAnsi" w:cstheme="majorHAnsi"/>
          <w:sz w:val="22"/>
          <w:lang w:val="de-DE"/>
        </w:rPr>
        <w:t>im Stand- und Betri</w:t>
      </w:r>
      <w:r w:rsidR="009C3428" w:rsidRPr="00E843CF">
        <w:rPr>
          <w:rFonts w:asciiTheme="majorHAnsi" w:hAnsiTheme="majorHAnsi" w:cstheme="majorHAnsi"/>
          <w:sz w:val="22"/>
          <w:lang w:val="de-DE"/>
        </w:rPr>
        <w:t>e</w:t>
      </w:r>
      <w:r w:rsidR="00241A96" w:rsidRPr="00E843CF">
        <w:rPr>
          <w:rFonts w:asciiTheme="majorHAnsi" w:hAnsiTheme="majorHAnsi" w:cstheme="majorHAnsi"/>
          <w:sz w:val="22"/>
          <w:lang w:val="de-DE"/>
        </w:rPr>
        <w:t xml:space="preserve">bskonzept / Lage- und Standplan </w:t>
      </w:r>
      <w:r w:rsidRPr="00E843CF">
        <w:rPr>
          <w:rFonts w:asciiTheme="majorHAnsi" w:hAnsiTheme="majorHAnsi" w:cstheme="majorHAnsi"/>
          <w:sz w:val="22"/>
          <w:lang w:val="de-DE"/>
        </w:rPr>
        <w:t>mit der von der Bundesbank benannten Stelle abzustimmen.</w:t>
      </w:r>
    </w:p>
    <w:p w14:paraId="0545272B" w14:textId="77777777" w:rsidR="00EE5EF4" w:rsidRPr="00E843CF" w:rsidRDefault="00EE5EF4">
      <w:pPr>
        <w:pStyle w:val="Clause"/>
        <w:numPr>
          <w:ilvl w:val="0"/>
          <w:numId w:val="43"/>
        </w:numPr>
        <w:rPr>
          <w:rFonts w:asciiTheme="majorHAnsi" w:hAnsiTheme="majorHAnsi" w:cstheme="majorHAnsi"/>
          <w:sz w:val="22"/>
          <w:lang w:val="de-DE"/>
        </w:rPr>
      </w:pPr>
      <w:r w:rsidRPr="00E843CF">
        <w:rPr>
          <w:rFonts w:asciiTheme="majorHAnsi" w:hAnsiTheme="majorHAnsi" w:cstheme="majorHAnsi"/>
          <w:sz w:val="22"/>
          <w:lang w:val="de-DE"/>
        </w:rPr>
        <w:t>Die Bundesbank entscheidet nach Maßgabe ihrer IT-Sicherheits-, Datenschutz- und Betriebsanforderungen, ob und in welchem Umfang zusätzliche technische Maßnahmen bereitgestellt oder zugelassen werden.</w:t>
      </w:r>
    </w:p>
    <w:p w14:paraId="48FC5E68" w14:textId="6FF3F37E" w:rsidR="00EE5EF4" w:rsidRPr="00E843CF" w:rsidRDefault="00EE5EF4">
      <w:pPr>
        <w:pStyle w:val="Clause"/>
        <w:numPr>
          <w:ilvl w:val="0"/>
          <w:numId w:val="43"/>
        </w:numPr>
        <w:rPr>
          <w:rFonts w:asciiTheme="majorHAnsi" w:hAnsiTheme="majorHAnsi" w:cstheme="majorHAnsi"/>
          <w:sz w:val="22"/>
          <w:lang w:val="de-DE"/>
        </w:rPr>
      </w:pPr>
      <w:r w:rsidRPr="00E843CF">
        <w:rPr>
          <w:rFonts w:asciiTheme="majorHAnsi" w:hAnsiTheme="majorHAnsi" w:cstheme="majorHAnsi"/>
          <w:sz w:val="22"/>
          <w:lang w:val="de-DE"/>
        </w:rPr>
        <w:t>Erfordern zusätzliche technische Maßnahmen, Sonderausstattungen oder sonstige Leistungen einen über</w:t>
      </w:r>
      <w:r w:rsidR="00367BA5" w:rsidRPr="00E843CF">
        <w:rPr>
          <w:rFonts w:asciiTheme="majorHAnsi" w:hAnsiTheme="majorHAnsi" w:cstheme="majorHAnsi"/>
          <w:sz w:val="22"/>
          <w:lang w:val="de-DE"/>
        </w:rPr>
        <w:t xml:space="preserve"> Buchstabe </w:t>
      </w:r>
      <w:r w:rsidR="00BA7331" w:rsidRPr="00BA7331">
        <w:rPr>
          <w:rFonts w:asciiTheme="majorHAnsi" w:hAnsiTheme="majorHAnsi" w:cstheme="majorHAnsi"/>
          <w:sz w:val="22"/>
          <w:lang w:val="de-DE"/>
        </w:rPr>
        <w:t>D Nr. 4 a)</w:t>
      </w:r>
      <w:r w:rsidR="00BA7331">
        <w:rPr>
          <w:rFonts w:asciiTheme="majorHAnsi" w:hAnsiTheme="majorHAnsi" w:cstheme="majorHAnsi"/>
          <w:sz w:val="22"/>
          <w:lang w:val="de-DE"/>
        </w:rPr>
        <w:t xml:space="preserve"> </w:t>
      </w:r>
      <w:r w:rsidRPr="00E843CF">
        <w:rPr>
          <w:rFonts w:asciiTheme="majorHAnsi" w:hAnsiTheme="majorHAnsi" w:cstheme="majorHAnsi"/>
          <w:sz w:val="22"/>
          <w:lang w:val="de-DE"/>
        </w:rPr>
        <w:t>hinausgehenden Aufwand, stimmen die Parteien vor deren Umsetzung gesondert ab, ob und in welchem Umfang die Maßnahme durchgeführt wird und wer die Kosten trägt.</w:t>
      </w:r>
    </w:p>
    <w:p w14:paraId="14BEA80E" w14:textId="77777777" w:rsidR="00EE5EF4" w:rsidRPr="00E843CF" w:rsidRDefault="00EE5EF4">
      <w:pPr>
        <w:pStyle w:val="Clause"/>
        <w:numPr>
          <w:ilvl w:val="0"/>
          <w:numId w:val="43"/>
        </w:numPr>
        <w:rPr>
          <w:rFonts w:asciiTheme="majorHAnsi" w:hAnsiTheme="majorHAnsi" w:cstheme="majorHAnsi"/>
          <w:sz w:val="22"/>
          <w:lang w:val="de-DE"/>
        </w:rPr>
      </w:pPr>
      <w:r w:rsidRPr="00E843CF">
        <w:rPr>
          <w:rFonts w:asciiTheme="majorHAnsi" w:hAnsiTheme="majorHAnsi" w:cstheme="majorHAnsi"/>
          <w:sz w:val="22"/>
          <w:lang w:val="de-DE"/>
        </w:rPr>
        <w:t>Die Bundesbank schuldet keinen unterbrechungsfreien oder für bestimmte Zwecke geeigneten Internetzugang. Vorhersehbare Einschränkungen werden dem Pilothändler, soweit möglich, mitgeteilt.</w:t>
      </w:r>
    </w:p>
    <w:p w14:paraId="7141E69E" w14:textId="77777777" w:rsidR="00EE5EF4" w:rsidRPr="00E843CF" w:rsidRDefault="00EE5EF4">
      <w:pPr>
        <w:pStyle w:val="Clause"/>
        <w:numPr>
          <w:ilvl w:val="0"/>
          <w:numId w:val="43"/>
        </w:numPr>
        <w:rPr>
          <w:rFonts w:asciiTheme="majorHAnsi" w:hAnsiTheme="majorHAnsi" w:cstheme="majorHAnsi"/>
          <w:sz w:val="22"/>
          <w:lang w:val="de-DE"/>
        </w:rPr>
      </w:pPr>
      <w:r w:rsidRPr="00E843CF">
        <w:rPr>
          <w:rFonts w:asciiTheme="majorHAnsi" w:hAnsiTheme="majorHAnsi" w:cstheme="majorHAnsi"/>
          <w:sz w:val="22"/>
          <w:lang w:val="de-DE"/>
        </w:rPr>
        <w:t>Bauliche Maßnahmen durch den Pilothändler sind nicht gestattet; hierzu zählen insbesondere bauliche Veränderungen, Befestigungen an der Gebäudesubstanz sowie Eingriffe in Elektro-, Daten- oder sonstige Gebäudetechnik. Lässt die Bundesbank im Einzelfall schriftlich eine Ausnahme zu, stellt der Pilothändler bei Ende der Nutzung auf eigene Kosten den ursprünglichen Zustand wieder her, soweit die Bundesbank nichts anderes bestimmt.</w:t>
      </w:r>
    </w:p>
    <w:p w14:paraId="08392AD2" w14:textId="77777777" w:rsidR="00EE5EF4" w:rsidRPr="00E843CF" w:rsidRDefault="00EE5EF4" w:rsidP="00EE5EF4">
      <w:pPr>
        <w:pStyle w:val="Clause"/>
        <w:rPr>
          <w:rFonts w:asciiTheme="majorHAnsi" w:hAnsiTheme="majorHAnsi" w:cstheme="majorHAnsi"/>
          <w:sz w:val="22"/>
          <w:lang w:val="de-DE"/>
        </w:rPr>
      </w:pPr>
      <w:r w:rsidRPr="00E843CF">
        <w:rPr>
          <w:rFonts w:asciiTheme="majorHAnsi" w:hAnsiTheme="majorHAnsi" w:cstheme="majorHAnsi"/>
          <w:sz w:val="22"/>
          <w:lang w:val="de-DE"/>
        </w:rPr>
        <w:t>5. Warenanlieferungen, Lagerung und Betrieb</w:t>
      </w:r>
    </w:p>
    <w:p w14:paraId="142C71AA" w14:textId="77777777" w:rsidR="00EE5EF4" w:rsidRPr="00E843CF" w:rsidRDefault="00EE5EF4">
      <w:pPr>
        <w:pStyle w:val="Clause"/>
        <w:numPr>
          <w:ilvl w:val="0"/>
          <w:numId w:val="44"/>
        </w:numPr>
        <w:rPr>
          <w:rFonts w:asciiTheme="majorHAnsi" w:hAnsiTheme="majorHAnsi" w:cstheme="majorHAnsi"/>
          <w:sz w:val="22"/>
          <w:lang w:val="de-DE"/>
        </w:rPr>
      </w:pPr>
      <w:r w:rsidRPr="00E843CF">
        <w:rPr>
          <w:rFonts w:asciiTheme="majorHAnsi" w:hAnsiTheme="majorHAnsi" w:cstheme="majorHAnsi"/>
          <w:sz w:val="22"/>
          <w:lang w:val="de-DE"/>
        </w:rPr>
        <w:t xml:space="preserve">Warenanlieferungen und Abholungen sind nur an Arbeitstagen (Montag bis Freitag, ausgenommen gesetzliche Feiertage in Hessen sowie der 24. und 31. Dezember) zwischen 06:00 Uhr und 20:00 Uhr zulässig. Der Pilothändler stimmt die konkreten Lieferzeitfenster, </w:t>
      </w:r>
      <w:r w:rsidRPr="00E843CF">
        <w:rPr>
          <w:rFonts w:asciiTheme="majorHAnsi" w:hAnsiTheme="majorHAnsi" w:cstheme="majorHAnsi"/>
          <w:sz w:val="22"/>
          <w:lang w:val="de-DE"/>
        </w:rPr>
        <w:lastRenderedPageBreak/>
        <w:t>Lieferwege, Ansprechpartner und gegebenenfalls erforderlichen Voranmeldungen rechtzeitig mit der von der Bundesbank benannten Stelle der Liegenschaft ab. Der Pilothändler ist für die Annahme, den Transport innerhalb der Liegenschaft sowie die Abholung seiner Waren und Betriebsmittel verantwortlich; ein Anspruch auf Annahme, Lagerung oder Beförderung durch die Bundesbank besteht nicht. Ein Anspruch auf Parkplätze oder eine allgemeine Zufahrtsberechtigung für Fahrzeuge des Pilothändlers, seiner Beschäftigten oder Lieferanten besteht nicht.</w:t>
      </w:r>
    </w:p>
    <w:p w14:paraId="08114327" w14:textId="37686DFE" w:rsidR="00EE5EF4" w:rsidRPr="00E843CF" w:rsidRDefault="00EE5EF4">
      <w:pPr>
        <w:pStyle w:val="Clause"/>
        <w:numPr>
          <w:ilvl w:val="0"/>
          <w:numId w:val="44"/>
        </w:numPr>
        <w:rPr>
          <w:rFonts w:asciiTheme="majorHAnsi" w:hAnsiTheme="majorHAnsi" w:cstheme="majorHAnsi"/>
          <w:sz w:val="22"/>
          <w:lang w:val="de-DE"/>
        </w:rPr>
      </w:pPr>
      <w:r w:rsidRPr="00E843CF">
        <w:rPr>
          <w:rFonts w:asciiTheme="majorHAnsi" w:hAnsiTheme="majorHAnsi" w:cstheme="majorHAnsi"/>
          <w:sz w:val="22"/>
          <w:lang w:val="de-DE"/>
        </w:rPr>
        <w:t xml:space="preserve">Waren und Betriebsmittel dürfen nur in den hierfür zugewiesenen Bereichen gelagert werden. Verkehrs-, Flucht- und Rettungswege, Brandschutzabstände und barrierefreie Zugänge sind jederzeit freizuhalten. Gefährliche, leicht entzündliche oder </w:t>
      </w:r>
      <w:r w:rsidR="00532BF0" w:rsidRPr="00532BF0">
        <w:rPr>
          <w:rFonts w:asciiTheme="majorHAnsi" w:hAnsiTheme="majorHAnsi" w:cstheme="majorHAnsi"/>
          <w:sz w:val="22"/>
          <w:lang w:val="de-DE"/>
        </w:rPr>
        <w:t xml:space="preserve">Waren </w:t>
      </w:r>
      <w:r w:rsidR="00532BF0">
        <w:rPr>
          <w:rFonts w:asciiTheme="majorHAnsi" w:hAnsiTheme="majorHAnsi" w:cstheme="majorHAnsi"/>
          <w:sz w:val="22"/>
          <w:lang w:val="de-DE"/>
        </w:rPr>
        <w:t xml:space="preserve">und Stoffe </w:t>
      </w:r>
      <w:r w:rsidR="00532BF0" w:rsidRPr="00532BF0">
        <w:rPr>
          <w:rFonts w:asciiTheme="majorHAnsi" w:hAnsiTheme="majorHAnsi" w:cstheme="majorHAnsi"/>
          <w:sz w:val="22"/>
          <w:lang w:val="de-DE"/>
        </w:rPr>
        <w:t xml:space="preserve">außerhalb des freigegebenen Stand- und Betriebskonzepts </w:t>
      </w:r>
      <w:r w:rsidRPr="00E843CF">
        <w:rPr>
          <w:rFonts w:asciiTheme="majorHAnsi" w:hAnsiTheme="majorHAnsi" w:cstheme="majorHAnsi"/>
          <w:sz w:val="22"/>
          <w:lang w:val="de-DE"/>
        </w:rPr>
        <w:t>(Nummer 8) dürfen nicht eingebracht, gelagert oder verwendet werden. Unfälle, Schäden, Sicherheitsereignisse, Brand- oder Rauchentwicklung, Leckagen und sonstige Gefahren meldet der Pilothändler unverzüglich der von der Bundesbank benannten Stelle; Sicherheitsunterweisungen und Räumungsanordnungen der Bundesbank und ihres Sicherheitsdienstes sind zu befolgen. In seinem Verantwortungsbereich trifft der Pilothändler die erforderlichen Maßnahmen zur Verkehrssicherung. Die Bundesbank unterweist die eingesetzten Personen vor ihrem ersten Einsatz über die Gefahren und Verhaltensregeln am Pilotstandort; der Pilothändler ist als Arbeitgeber für den Arbeitsschutz seiner Beschäftigten verantwortlich.</w:t>
      </w:r>
    </w:p>
    <w:p w14:paraId="1949F215" w14:textId="77777777" w:rsidR="00EE5EF4" w:rsidRPr="00E843CF" w:rsidRDefault="00EE5EF4" w:rsidP="00EE5EF4">
      <w:pPr>
        <w:pStyle w:val="Clause"/>
        <w:rPr>
          <w:rFonts w:asciiTheme="majorHAnsi" w:hAnsiTheme="majorHAnsi" w:cstheme="majorHAnsi"/>
          <w:sz w:val="22"/>
          <w:lang w:val="de-DE"/>
        </w:rPr>
      </w:pPr>
      <w:r w:rsidRPr="00E843CF">
        <w:rPr>
          <w:rFonts w:asciiTheme="majorHAnsi" w:hAnsiTheme="majorHAnsi" w:cstheme="majorHAnsi"/>
          <w:sz w:val="22"/>
          <w:lang w:val="de-DE"/>
        </w:rPr>
        <w:t>6. Reinigung, Abfallentsorgung und Rückgabe</w:t>
      </w:r>
    </w:p>
    <w:p w14:paraId="44D8CAF9" w14:textId="38FAAC63" w:rsidR="00EE5EF4" w:rsidRPr="00E843CF" w:rsidRDefault="00EE5EF4">
      <w:pPr>
        <w:pStyle w:val="Clause"/>
        <w:numPr>
          <w:ilvl w:val="0"/>
          <w:numId w:val="45"/>
        </w:numPr>
        <w:rPr>
          <w:rFonts w:asciiTheme="majorHAnsi" w:hAnsiTheme="majorHAnsi" w:cstheme="majorHAnsi"/>
          <w:sz w:val="22"/>
          <w:lang w:val="de-DE"/>
        </w:rPr>
      </w:pPr>
      <w:r w:rsidRPr="00E843CF">
        <w:rPr>
          <w:rFonts w:asciiTheme="majorHAnsi" w:hAnsiTheme="majorHAnsi" w:cstheme="majorHAnsi"/>
          <w:sz w:val="22"/>
          <w:lang w:val="de-DE"/>
        </w:rPr>
        <w:t xml:space="preserve">Die Bundesbank übernimmt in dem im Standortblatt (Anhang D1) festgelegten Umfang die Reinigung, Abfallentsorgung und allgemeine Pflege der Pilotfläche. Der Pilothändler hält die ihm überlassenen Bereiche während des Betriebs ordentlich, vermeidet Verunreinigungen, Beeinträchtigungen und Gefährdungen und beachtet die von der Bundesbank vorgegebenen Entsorgungswege. Eigene Waren, Verpackungen, Endgeräte, Betriebsmittel und sonstige Gegenstände sind auf Aufforderung oder spätestens bei Ende der Nutzung </w:t>
      </w:r>
      <w:r w:rsidR="00252AB9" w:rsidRPr="00E843CF">
        <w:rPr>
          <w:rFonts w:asciiTheme="majorHAnsi" w:hAnsiTheme="majorHAnsi" w:cstheme="majorHAnsi"/>
          <w:sz w:val="22"/>
          <w:lang w:val="de-DE"/>
        </w:rPr>
        <w:t>durch den Pilothändler auf eigene Kosten zu entfernen. Die Nutzung der bankeigenen Entsorgungsstellen ist nicht möglich.</w:t>
      </w:r>
    </w:p>
    <w:p w14:paraId="4BEF86E7" w14:textId="77777777" w:rsidR="00EE5EF4" w:rsidRPr="00E843CF" w:rsidRDefault="00EE5EF4">
      <w:pPr>
        <w:pStyle w:val="Clause"/>
        <w:numPr>
          <w:ilvl w:val="0"/>
          <w:numId w:val="45"/>
        </w:numPr>
        <w:rPr>
          <w:rFonts w:asciiTheme="majorHAnsi" w:hAnsiTheme="majorHAnsi" w:cstheme="majorHAnsi"/>
          <w:sz w:val="22"/>
          <w:lang w:val="de-DE"/>
        </w:rPr>
      </w:pPr>
      <w:r w:rsidRPr="00E843CF">
        <w:rPr>
          <w:rFonts w:asciiTheme="majorHAnsi" w:hAnsiTheme="majorHAnsi" w:cstheme="majorHAnsi"/>
          <w:sz w:val="22"/>
          <w:lang w:val="de-DE"/>
        </w:rPr>
        <w:t>Bei Ende oder vorzeitiger Beendigung der Teilnahmevereinbarung gibt der Pilothändler die Pilotfläche im ordentlichen, von eigenen Gegenständen geräumten Zustand zurück. Er gibt Zugangskarten und sonstige von der Bundesbank bereitgestellte Gegenstände zurück und zeigt Schäden oder Verluste unverzüglich an.</w:t>
      </w:r>
    </w:p>
    <w:p w14:paraId="3F171A98" w14:textId="77777777" w:rsidR="00EE5EF4" w:rsidRPr="00E843CF" w:rsidRDefault="00EE5EF4" w:rsidP="00EE5EF4">
      <w:pPr>
        <w:pStyle w:val="Clause"/>
        <w:rPr>
          <w:rFonts w:asciiTheme="majorHAnsi" w:hAnsiTheme="majorHAnsi" w:cstheme="majorHAnsi"/>
          <w:sz w:val="22"/>
          <w:lang w:val="de-DE"/>
        </w:rPr>
      </w:pPr>
      <w:r w:rsidRPr="00E843CF">
        <w:rPr>
          <w:rFonts w:asciiTheme="majorHAnsi" w:hAnsiTheme="majorHAnsi" w:cstheme="majorHAnsi"/>
          <w:sz w:val="22"/>
          <w:lang w:val="de-DE"/>
        </w:rPr>
        <w:t>7. Ansprechpartner und Änderungen</w:t>
      </w:r>
    </w:p>
    <w:p w14:paraId="7464086A" w14:textId="77777777" w:rsidR="00EE5EF4" w:rsidRPr="00E843CF" w:rsidRDefault="00EE5EF4">
      <w:pPr>
        <w:pStyle w:val="Clause"/>
        <w:numPr>
          <w:ilvl w:val="0"/>
          <w:numId w:val="46"/>
        </w:numPr>
        <w:rPr>
          <w:rFonts w:asciiTheme="majorHAnsi" w:hAnsiTheme="majorHAnsi" w:cstheme="majorHAnsi"/>
          <w:sz w:val="22"/>
          <w:lang w:val="de-DE"/>
        </w:rPr>
      </w:pPr>
      <w:r w:rsidRPr="00E843CF">
        <w:rPr>
          <w:rFonts w:asciiTheme="majorHAnsi" w:hAnsiTheme="majorHAnsi" w:cstheme="majorHAnsi"/>
          <w:sz w:val="22"/>
          <w:lang w:val="de-DE"/>
        </w:rPr>
        <w:t>Die Parteien benennen vor Betriebsaufnahme die für Flächennutzung, Liegenschaftsbetrieb, Zutritt, Lieferlogistik und technische Fragen zuständigen Ansprechpartner.</w:t>
      </w:r>
    </w:p>
    <w:p w14:paraId="3CA3CA7C" w14:textId="6FC16D94" w:rsidR="00EE5EF4" w:rsidRPr="00E843CF" w:rsidRDefault="00EE5EF4">
      <w:pPr>
        <w:pStyle w:val="Clause"/>
        <w:numPr>
          <w:ilvl w:val="0"/>
          <w:numId w:val="46"/>
        </w:numPr>
        <w:rPr>
          <w:rFonts w:asciiTheme="majorHAnsi" w:hAnsiTheme="majorHAnsi" w:cstheme="majorHAnsi"/>
          <w:sz w:val="22"/>
          <w:lang w:val="de-DE"/>
        </w:rPr>
      </w:pPr>
      <w:r w:rsidRPr="00E843CF">
        <w:rPr>
          <w:rFonts w:asciiTheme="majorHAnsi" w:hAnsiTheme="majorHAnsi" w:cstheme="majorHAnsi"/>
          <w:sz w:val="22"/>
          <w:lang w:val="de-DE"/>
        </w:rPr>
        <w:t>Änderungen der Raumzuweisung, Betriebszeiten oder Lieferprozesse werden dem Pilothändler in Textform mitgeteilt, soweit nicht eine sofortige Maßnahme aus Sicherheits- oder Betriebsgründen erforderlich ist.</w:t>
      </w:r>
    </w:p>
    <w:p w14:paraId="729BDA2D" w14:textId="77777777" w:rsidR="00EE5EF4" w:rsidRPr="00E843CF" w:rsidRDefault="00EE5EF4">
      <w:pPr>
        <w:pStyle w:val="Clause"/>
        <w:numPr>
          <w:ilvl w:val="0"/>
          <w:numId w:val="46"/>
        </w:numPr>
        <w:rPr>
          <w:rFonts w:asciiTheme="majorHAnsi" w:hAnsiTheme="majorHAnsi" w:cstheme="majorHAnsi"/>
          <w:sz w:val="22"/>
          <w:lang w:val="de-DE"/>
        </w:rPr>
      </w:pPr>
      <w:r w:rsidRPr="00E843CF">
        <w:rPr>
          <w:rFonts w:asciiTheme="majorHAnsi" w:hAnsiTheme="majorHAnsi" w:cstheme="majorHAnsi"/>
          <w:sz w:val="22"/>
          <w:lang w:val="de-DE"/>
        </w:rPr>
        <w:t>Bei Verstößen gegen diesen Anhang kann die Bundesbank angemessene Anordnungen treffen, insbesondere die Beseitigung eines Mangels verlangen, einzelne Personen, Geräte, Bereiche oder Tätigkeiten vorübergehend sperren oder den Betrieb bis zur Wiederherstellung eines ordnungsgemäßen Zustands aussetzen; weitergehende Rechte, insbesondere nach § 15, bleiben unberührt.</w:t>
      </w:r>
    </w:p>
    <w:p w14:paraId="600DD619" w14:textId="77777777" w:rsidR="00EE5EF4" w:rsidRPr="00E843CF" w:rsidRDefault="00EE5EF4" w:rsidP="00EE5EF4">
      <w:pPr>
        <w:pStyle w:val="Clause"/>
        <w:rPr>
          <w:rFonts w:cstheme="majorHAnsi"/>
          <w:sz w:val="22"/>
        </w:rPr>
      </w:pPr>
      <w:r w:rsidRPr="00E843CF">
        <w:rPr>
          <w:rFonts w:asciiTheme="majorHAnsi" w:hAnsiTheme="majorHAnsi" w:cstheme="majorHAnsi"/>
          <w:sz w:val="22"/>
          <w:lang w:val="de-DE"/>
        </w:rPr>
        <w:t>8. Zusätzliche Sicherheits- und Betriebsvoraussetzungen</w:t>
      </w:r>
    </w:p>
    <w:p w14:paraId="0DDB70B3" w14:textId="19943DA9" w:rsidR="00EE5EF4" w:rsidRPr="00E843CF" w:rsidRDefault="00532BF0">
      <w:pPr>
        <w:pStyle w:val="Clause"/>
        <w:numPr>
          <w:ilvl w:val="0"/>
          <w:numId w:val="47"/>
        </w:numPr>
        <w:rPr>
          <w:rFonts w:asciiTheme="majorHAnsi" w:hAnsiTheme="majorHAnsi" w:cstheme="majorHAnsi"/>
          <w:sz w:val="22"/>
          <w:lang w:val="de-DE"/>
        </w:rPr>
      </w:pPr>
      <w:r w:rsidRPr="00532BF0">
        <w:rPr>
          <w:rFonts w:asciiTheme="majorHAnsi" w:hAnsiTheme="majorHAnsi" w:cstheme="majorHAnsi"/>
          <w:sz w:val="22"/>
          <w:lang w:val="de-DE"/>
        </w:rPr>
        <w:t xml:space="preserve">Der Pilothändler hat ein Stand- und Betriebskonzept zu erarbeiten und dies mit der Bundesbank abzustimmen. Voraussetzung für eine Betriebsaufnahme des Pilothändlers ist, dass er sein abgestimmtes Stand- und Betriebskonzept vorlegt. </w:t>
      </w:r>
      <w:r w:rsidR="00EE5EF4" w:rsidRPr="00E843CF">
        <w:rPr>
          <w:rFonts w:asciiTheme="majorHAnsi" w:hAnsiTheme="majorHAnsi" w:cstheme="majorHAnsi"/>
          <w:sz w:val="22"/>
          <w:lang w:val="de-DE"/>
        </w:rPr>
        <w:t xml:space="preserve">Dieses umfasst </w:t>
      </w:r>
      <w:r w:rsidR="00EE5EF4" w:rsidRPr="00E843CF">
        <w:rPr>
          <w:rFonts w:asciiTheme="majorHAnsi" w:hAnsiTheme="majorHAnsi" w:cstheme="majorHAnsi"/>
          <w:sz w:val="22"/>
          <w:lang w:val="de-DE"/>
        </w:rPr>
        <w:lastRenderedPageBreak/>
        <w:t>mindestens Sortiment und Warengruppen, Art und Anzahl der eingebrachten Einrichtungen</w:t>
      </w:r>
      <w:r w:rsidR="002A5531" w:rsidRPr="00E843CF">
        <w:rPr>
          <w:rFonts w:asciiTheme="majorHAnsi" w:hAnsiTheme="majorHAnsi" w:cstheme="majorHAnsi"/>
          <w:sz w:val="22"/>
          <w:lang w:val="de-DE"/>
        </w:rPr>
        <w:t xml:space="preserve"> (Standaufbauten)</w:t>
      </w:r>
      <w:r w:rsidR="00EE5EF4" w:rsidRPr="00E843CF">
        <w:rPr>
          <w:rFonts w:asciiTheme="majorHAnsi" w:hAnsiTheme="majorHAnsi" w:cstheme="majorHAnsi"/>
          <w:sz w:val="22"/>
          <w:lang w:val="de-DE"/>
        </w:rPr>
        <w:t xml:space="preserve"> und Betriebsmittel, Flächen- und Lagerbedarf, Infrastruktur für Strom und Daten sowie die vorgesehenen Liefer- und Betriebsabläufe. Die Nutzung der Pilotfläche setzt die Freigabe dieses Konzepts durch die Bundesbank voraus</w:t>
      </w:r>
      <w:r w:rsidR="005C759D" w:rsidRPr="00E843CF">
        <w:rPr>
          <w:rFonts w:asciiTheme="majorHAnsi" w:hAnsiTheme="majorHAnsi" w:cstheme="majorHAnsi"/>
          <w:sz w:val="22"/>
          <w:lang w:val="de-DE"/>
        </w:rPr>
        <w:t>.</w:t>
      </w:r>
    </w:p>
    <w:p w14:paraId="367F40EB" w14:textId="46EE53E9" w:rsidR="00EE5EF4" w:rsidRPr="00E843CF" w:rsidRDefault="00EE5EF4">
      <w:pPr>
        <w:pStyle w:val="Clause"/>
        <w:numPr>
          <w:ilvl w:val="0"/>
          <w:numId w:val="47"/>
        </w:numPr>
        <w:rPr>
          <w:rFonts w:asciiTheme="majorHAnsi" w:hAnsiTheme="majorHAnsi" w:cstheme="majorHAnsi"/>
          <w:sz w:val="22"/>
          <w:lang w:val="de-DE"/>
        </w:rPr>
      </w:pPr>
      <w:r w:rsidRPr="00E843CF">
        <w:rPr>
          <w:rFonts w:asciiTheme="majorHAnsi" w:hAnsiTheme="majorHAnsi" w:cstheme="majorHAnsi"/>
          <w:sz w:val="22"/>
          <w:lang w:val="de-DE"/>
        </w:rPr>
        <w:t xml:space="preserve">Das Stand- und Betriebskonzept umfasst hinsichtlich des </w:t>
      </w:r>
      <w:r w:rsidR="00711F44" w:rsidRPr="00E843CF">
        <w:rPr>
          <w:rFonts w:asciiTheme="majorHAnsi" w:hAnsiTheme="majorHAnsi" w:cstheme="majorHAnsi"/>
          <w:sz w:val="22"/>
          <w:lang w:val="de-DE"/>
        </w:rPr>
        <w:t>Strom</w:t>
      </w:r>
      <w:r w:rsidRPr="00E843CF">
        <w:rPr>
          <w:rFonts w:asciiTheme="majorHAnsi" w:hAnsiTheme="majorHAnsi" w:cstheme="majorHAnsi"/>
          <w:sz w:val="22"/>
          <w:lang w:val="de-DE"/>
        </w:rPr>
        <w:t xml:space="preserve">- und </w:t>
      </w:r>
      <w:r w:rsidR="00711F44" w:rsidRPr="00E843CF">
        <w:rPr>
          <w:rFonts w:asciiTheme="majorHAnsi" w:hAnsiTheme="majorHAnsi" w:cstheme="majorHAnsi"/>
          <w:sz w:val="22"/>
          <w:lang w:val="de-DE"/>
        </w:rPr>
        <w:t>IT-</w:t>
      </w:r>
      <w:r w:rsidRPr="00E843CF">
        <w:rPr>
          <w:rFonts w:asciiTheme="majorHAnsi" w:hAnsiTheme="majorHAnsi" w:cstheme="majorHAnsi"/>
          <w:sz w:val="22"/>
          <w:lang w:val="de-DE"/>
        </w:rPr>
        <w:t>Netzbedarfs insbesondere die benötigte Anschlussart, Endgeräte, Terminalanbindung, sonstige Netzwerkkomponenten und gegebenenfalls erforderliche technische Anpassungen.</w:t>
      </w:r>
    </w:p>
    <w:p w14:paraId="4AEA528F" w14:textId="77777777" w:rsidR="00EE5EF4" w:rsidRPr="00E843CF" w:rsidRDefault="00EE5EF4">
      <w:pPr>
        <w:pStyle w:val="Clause"/>
        <w:numPr>
          <w:ilvl w:val="0"/>
          <w:numId w:val="47"/>
        </w:numPr>
        <w:rPr>
          <w:rFonts w:asciiTheme="majorHAnsi" w:hAnsiTheme="majorHAnsi" w:cstheme="majorHAnsi"/>
          <w:sz w:val="22"/>
          <w:lang w:val="de-DE"/>
        </w:rPr>
      </w:pPr>
      <w:r w:rsidRPr="00E843CF">
        <w:rPr>
          <w:rFonts w:asciiTheme="majorHAnsi" w:hAnsiTheme="majorHAnsi" w:cstheme="majorHAnsi"/>
          <w:sz w:val="22"/>
          <w:lang w:val="de-DE"/>
        </w:rPr>
        <w:t>Änderungen des freigegebenen Stand- und Betriebskonzepts bedürfen der vorherigen Zustimmung der Bundesbank in Textform; § 4 Absatz 1 Buchstabe i bleibt unberührt.</w:t>
      </w:r>
    </w:p>
    <w:p w14:paraId="1A6E13F7" w14:textId="77777777" w:rsidR="00EE5EF4" w:rsidRPr="00E843CF" w:rsidRDefault="00EE5EF4">
      <w:pPr>
        <w:pStyle w:val="Clause"/>
        <w:numPr>
          <w:ilvl w:val="0"/>
          <w:numId w:val="47"/>
        </w:numPr>
        <w:rPr>
          <w:rFonts w:asciiTheme="majorHAnsi" w:hAnsiTheme="majorHAnsi" w:cstheme="majorHAnsi"/>
          <w:sz w:val="22"/>
          <w:lang w:val="de-DE"/>
        </w:rPr>
      </w:pPr>
      <w:r w:rsidRPr="00E843CF">
        <w:rPr>
          <w:rFonts w:asciiTheme="majorHAnsi" w:hAnsiTheme="majorHAnsi" w:cstheme="majorHAnsi"/>
          <w:sz w:val="22"/>
          <w:lang w:val="de-DE"/>
        </w:rPr>
        <w:t>Der Pilothändler darf ausschließlich ordnungsgemäße, für den vorgesehenen Einsatz geeignete und nach den einschlägigen Vorschriften geprüfte Endgeräte, Anschlussleitungen, Verlängerungskabel und sonstige elektrische Betriebsmittel einsetzen. Für die von ihm ab der bereitgestellten Anschlussstelle eingesetzten Betriebsmittel sowie deren sicheren Betrieb ist der Pilothändler verantwortlich.</w:t>
      </w:r>
    </w:p>
    <w:p w14:paraId="0F12A54F" w14:textId="39127CF9" w:rsidR="00EE5EF4" w:rsidRPr="00E843CF" w:rsidRDefault="00EE5EF4">
      <w:pPr>
        <w:pStyle w:val="Clause"/>
        <w:numPr>
          <w:ilvl w:val="0"/>
          <w:numId w:val="47"/>
        </w:numPr>
        <w:rPr>
          <w:rFonts w:asciiTheme="majorHAnsi" w:hAnsiTheme="majorHAnsi" w:cstheme="majorHAnsi"/>
          <w:sz w:val="22"/>
          <w:lang w:val="de-DE"/>
        </w:rPr>
      </w:pPr>
      <w:r w:rsidRPr="00E843CF">
        <w:rPr>
          <w:rFonts w:asciiTheme="majorHAnsi" w:hAnsiTheme="majorHAnsi" w:cstheme="majorHAnsi"/>
          <w:sz w:val="22"/>
          <w:lang w:val="de-DE"/>
        </w:rPr>
        <w:t xml:space="preserve">Der Pilothändler trägt die Verantwortung für die von ihm eingebrachten Waren, </w:t>
      </w:r>
      <w:r w:rsidR="00711F44" w:rsidRPr="00E843CF">
        <w:rPr>
          <w:rFonts w:asciiTheme="majorHAnsi" w:hAnsiTheme="majorHAnsi" w:cstheme="majorHAnsi"/>
          <w:sz w:val="22"/>
          <w:lang w:val="de-DE"/>
        </w:rPr>
        <w:t>Einrichtungen (Standaufbauten) und Betriebsmittel</w:t>
      </w:r>
      <w:r w:rsidRPr="00E843CF">
        <w:rPr>
          <w:rFonts w:asciiTheme="majorHAnsi" w:hAnsiTheme="majorHAnsi" w:cstheme="majorHAnsi"/>
          <w:sz w:val="22"/>
          <w:lang w:val="de-DE"/>
        </w:rPr>
        <w:t xml:space="preserve">. Er hat diese gegen Verlust, Beschädigung und unbefugten Zugriff angemessen zu sichern. </w:t>
      </w:r>
    </w:p>
    <w:p w14:paraId="595C7A6D" w14:textId="77777777" w:rsidR="00EE5EF4" w:rsidRPr="00E843CF" w:rsidRDefault="00EE5EF4" w:rsidP="00EE5EF4">
      <w:pPr>
        <w:pStyle w:val="berschrift1"/>
        <w:numPr>
          <w:ilvl w:val="0"/>
          <w:numId w:val="0"/>
        </w:numPr>
        <w:tabs>
          <w:tab w:val="right" w:pos="9638"/>
        </w:tabs>
        <w:ind w:left="1134" w:hanging="1134"/>
        <w:rPr>
          <w:rFonts w:cstheme="majorHAnsi"/>
          <w:sz w:val="22"/>
          <w:szCs w:val="22"/>
        </w:rPr>
      </w:pPr>
      <w:r w:rsidRPr="00E843CF">
        <w:rPr>
          <w:rFonts w:cstheme="majorHAnsi"/>
          <w:sz w:val="22"/>
          <w:szCs w:val="22"/>
        </w:rPr>
        <w:t>Anhang D1 – Standortblatt und freigegebener Lage- und Standplan</w:t>
      </w:r>
    </w:p>
    <w:p w14:paraId="4BD18050" w14:textId="6F828C71" w:rsidR="00EE5EF4" w:rsidRPr="00E843CF" w:rsidRDefault="00EE5EF4">
      <w:pPr>
        <w:pStyle w:val="Clause"/>
        <w:numPr>
          <w:ilvl w:val="0"/>
          <w:numId w:val="48"/>
        </w:numPr>
        <w:rPr>
          <w:rFonts w:asciiTheme="majorHAnsi" w:hAnsiTheme="majorHAnsi" w:cstheme="majorHAnsi"/>
          <w:sz w:val="22"/>
          <w:lang w:val="de-DE"/>
        </w:rPr>
      </w:pPr>
      <w:r w:rsidRPr="00E843CF">
        <w:rPr>
          <w:rFonts w:asciiTheme="majorHAnsi" w:hAnsiTheme="majorHAnsi" w:cstheme="majorHAnsi"/>
          <w:sz w:val="22"/>
          <w:lang w:val="de-DE"/>
        </w:rPr>
        <w:t xml:space="preserve">Der konkrete, Lage- und Standplan </w:t>
      </w:r>
      <w:r w:rsidR="00B50569" w:rsidRPr="00E843CF">
        <w:rPr>
          <w:rFonts w:asciiTheme="majorHAnsi" w:hAnsiTheme="majorHAnsi" w:cstheme="majorHAnsi"/>
          <w:sz w:val="22"/>
          <w:lang w:val="de-DE"/>
        </w:rPr>
        <w:t>ist Bestandteil der Standortregelungen gemäß Anhang D bzw. dem Stand- und Betriebskonzeptes</w:t>
      </w:r>
      <w:r w:rsidR="00367BA5" w:rsidRPr="00E843CF">
        <w:rPr>
          <w:rFonts w:asciiTheme="majorHAnsi" w:hAnsiTheme="majorHAnsi" w:cstheme="majorHAnsi"/>
          <w:sz w:val="22"/>
          <w:lang w:val="de-DE"/>
        </w:rPr>
        <w:t>. V</w:t>
      </w:r>
      <w:r w:rsidR="00B50569" w:rsidRPr="00E843CF">
        <w:rPr>
          <w:rFonts w:asciiTheme="majorHAnsi" w:hAnsiTheme="majorHAnsi" w:cstheme="majorHAnsi"/>
          <w:sz w:val="22"/>
          <w:lang w:val="de-DE"/>
        </w:rPr>
        <w:t>or</w:t>
      </w:r>
      <w:r w:rsidRPr="00E843CF">
        <w:rPr>
          <w:rFonts w:asciiTheme="majorHAnsi" w:hAnsiTheme="majorHAnsi" w:cstheme="majorHAnsi"/>
          <w:sz w:val="22"/>
          <w:lang w:val="de-DE"/>
        </w:rPr>
        <w:t xml:space="preserve"> Betriebsaufnahme </w:t>
      </w:r>
      <w:r w:rsidR="00B50569" w:rsidRPr="00E843CF">
        <w:rPr>
          <w:rFonts w:asciiTheme="majorHAnsi" w:hAnsiTheme="majorHAnsi" w:cstheme="majorHAnsi"/>
          <w:sz w:val="22"/>
          <w:lang w:val="de-DE"/>
        </w:rPr>
        <w:t>ist eine Freigabe erforderlich</w:t>
      </w:r>
      <w:r w:rsidRPr="00E843CF">
        <w:rPr>
          <w:rFonts w:asciiTheme="majorHAnsi" w:hAnsiTheme="majorHAnsi" w:cstheme="majorHAnsi"/>
          <w:sz w:val="22"/>
          <w:lang w:val="de-DE"/>
        </w:rPr>
        <w:t>.</w:t>
      </w:r>
    </w:p>
    <w:p w14:paraId="3F34594D" w14:textId="505A1BC1" w:rsidR="00EE5EF4" w:rsidRDefault="00EE5EF4">
      <w:pPr>
        <w:pStyle w:val="Clause"/>
        <w:numPr>
          <w:ilvl w:val="0"/>
          <w:numId w:val="48"/>
        </w:numPr>
        <w:rPr>
          <w:rFonts w:asciiTheme="majorHAnsi" w:hAnsiTheme="majorHAnsi" w:cstheme="majorHAnsi"/>
          <w:sz w:val="22"/>
          <w:lang w:val="de-DE"/>
        </w:rPr>
      </w:pPr>
      <w:r w:rsidRPr="00E843CF">
        <w:rPr>
          <w:rFonts w:asciiTheme="majorHAnsi" w:hAnsiTheme="majorHAnsi" w:cstheme="majorHAnsi"/>
          <w:sz w:val="22"/>
          <w:lang w:val="de-DE"/>
        </w:rPr>
        <w:t>Der Lage- und Standplan bezeichnet mindestens die freigegebenen Räume und Lagerbereiche, zulässige Nutzungs- und Standflächen, zugelassene Standorte für Regale, Automaten, Kassen und technische Geräte, Flucht- und Rettungswege, Sicherheitsabstände, barrierefreie Wege, Übergabepunkte für Strom und Daten, Lieferweg, Anlieferpunkt, Lagerzonen sowie die zulässige Art und Anzahl temporärer Aufbauten.</w:t>
      </w:r>
      <w:r w:rsidR="00532BF0">
        <w:rPr>
          <w:rFonts w:asciiTheme="majorHAnsi" w:hAnsiTheme="majorHAnsi" w:cstheme="majorHAnsi"/>
          <w:sz w:val="22"/>
          <w:lang w:val="de-DE"/>
        </w:rPr>
        <w:t xml:space="preserve"> </w:t>
      </w:r>
      <w:r w:rsidR="00532BF0" w:rsidRPr="00532BF0">
        <w:rPr>
          <w:rFonts w:asciiTheme="majorHAnsi" w:hAnsiTheme="majorHAnsi" w:cstheme="majorHAnsi"/>
          <w:sz w:val="22"/>
          <w:lang w:val="de-DE"/>
        </w:rPr>
        <w:t>Der Lage- und Standplan enthält ein Datum und eine Versionsnummer</w:t>
      </w:r>
      <w:r w:rsidR="00532BF0">
        <w:rPr>
          <w:rFonts w:asciiTheme="majorHAnsi" w:hAnsiTheme="majorHAnsi" w:cstheme="majorHAnsi"/>
          <w:sz w:val="22"/>
          <w:lang w:val="de-DE"/>
        </w:rPr>
        <w:t>.</w:t>
      </w:r>
    </w:p>
    <w:p w14:paraId="5652A973" w14:textId="77777777" w:rsidR="00EE5EF4" w:rsidRPr="00E843CF" w:rsidRDefault="00EE5EF4">
      <w:pPr>
        <w:pStyle w:val="Clause"/>
        <w:numPr>
          <w:ilvl w:val="0"/>
          <w:numId w:val="48"/>
        </w:numPr>
        <w:rPr>
          <w:rFonts w:asciiTheme="majorHAnsi" w:hAnsiTheme="majorHAnsi" w:cstheme="majorHAnsi"/>
          <w:sz w:val="22"/>
          <w:lang w:val="de-DE"/>
        </w:rPr>
      </w:pPr>
      <w:r w:rsidRPr="00E843CF">
        <w:rPr>
          <w:rFonts w:asciiTheme="majorHAnsi" w:hAnsiTheme="majorHAnsi" w:cstheme="majorHAnsi"/>
          <w:sz w:val="22"/>
          <w:lang w:val="de-DE"/>
        </w:rPr>
        <w:t>Das Standortblatt bezeichnet den Umfang der Standortleistungen, insbesondere Infrastruktur für Strom und Daten, Reinigungsintervalle und Abfallentsorgung, die zur Mitbenutzung bestimmten Sanitärräume und gegebenenfalls einen Pausenraum sowie die Ansprechpartner der Bundesbank nach Anhang D Nummer 7. Es wird dem Pilothändler vor Unterzeichnung dieser Vereinbarung übergeben und um dessen Ansprechpartner ergänzt, sobald er sie benannt hat. Änderungen richten sich nach § 2 Absatz 10; für Änderungen der Ansprechpartner gilt § 13 Absatz 4.</w:t>
      </w:r>
    </w:p>
    <w:p w14:paraId="54066C99" w14:textId="491951E7" w:rsidR="00EE5EF4" w:rsidRPr="00E843CF" w:rsidRDefault="00EE5EF4" w:rsidP="00EE5EF4">
      <w:pPr>
        <w:pStyle w:val="berschrift1"/>
        <w:numPr>
          <w:ilvl w:val="0"/>
          <w:numId w:val="0"/>
        </w:numPr>
        <w:tabs>
          <w:tab w:val="right" w:pos="9638"/>
        </w:tabs>
        <w:ind w:left="1134" w:hanging="1134"/>
      </w:pPr>
      <w:r w:rsidRPr="00E843CF">
        <w:rPr>
          <w:rFonts w:cstheme="majorHAnsi"/>
          <w:sz w:val="22"/>
          <w:szCs w:val="22"/>
        </w:rPr>
        <w:t>Anhang D2 – Regelblatt für Pilothändler</w:t>
      </w:r>
    </w:p>
    <w:p w14:paraId="15811E19" w14:textId="58981C58" w:rsidR="00EE5EF4" w:rsidRDefault="002701D0" w:rsidP="00EE5EF4">
      <w:pPr>
        <w:pStyle w:val="Clause"/>
        <w:ind w:left="0" w:firstLine="0"/>
        <w:rPr>
          <w:rFonts w:asciiTheme="majorHAnsi" w:hAnsiTheme="majorHAnsi" w:cstheme="majorHAnsi"/>
          <w:sz w:val="22"/>
          <w:lang w:val="de-DE"/>
        </w:rPr>
      </w:pPr>
      <w:r w:rsidRPr="002701D0">
        <w:rPr>
          <w:rFonts w:asciiTheme="majorHAnsi" w:hAnsiTheme="majorHAnsi" w:cstheme="majorHAnsi"/>
          <w:sz w:val="22"/>
          <w:lang w:val="de-DE"/>
        </w:rPr>
        <w:t>Der Pilothändler erhält vor Unterzeichnung dieser Vereinbarung den „Anhang D2 - Regelblatt für Pilothändler“ (hier: „Regelblatt“); dieses Regelblatt wird in der bei Unterzeichnung geltenden Fassung zum Vertragsbestandteil gemacht (§ 3 Absatz 1). Es gilt für den Pilothändler, seine Beschäftigten, Beauftragten, Lieferanten und Unterauftragnehmer (§ 11). Das Regelblatt konkretisiert Zutritts-, Sicherheits- und Hausordnungsregeln dieser Vereinbarung, insbesondere nach Anhang D Nummer 3 und 5</w:t>
      </w:r>
      <w:r w:rsidR="00EE5EF4" w:rsidRPr="00E843CF">
        <w:rPr>
          <w:rFonts w:asciiTheme="majorHAnsi" w:hAnsiTheme="majorHAnsi" w:cstheme="majorHAnsi"/>
          <w:sz w:val="22"/>
          <w:lang w:val="de-DE"/>
        </w:rPr>
        <w:t>.</w:t>
      </w:r>
      <w:r w:rsidR="005C1A68">
        <w:rPr>
          <w:rFonts w:asciiTheme="majorHAnsi" w:hAnsiTheme="majorHAnsi" w:cstheme="majorHAnsi"/>
          <w:sz w:val="22"/>
          <w:lang w:val="de-DE"/>
        </w:rPr>
        <w:t xml:space="preserve"> </w:t>
      </w:r>
      <w:r w:rsidR="005C1A68" w:rsidRPr="005C1A68">
        <w:rPr>
          <w:rFonts w:asciiTheme="majorHAnsi" w:hAnsiTheme="majorHAnsi" w:cstheme="majorHAnsi"/>
          <w:sz w:val="22"/>
          <w:lang w:val="de-DE"/>
        </w:rPr>
        <w:t>Vor Betriebsaufnahme bestätigt der Pilothändler in Textform die Kenntnisnahme des Regelblatt</w:t>
      </w:r>
      <w:r w:rsidR="005C1A68">
        <w:rPr>
          <w:rFonts w:asciiTheme="majorHAnsi" w:hAnsiTheme="majorHAnsi" w:cstheme="majorHAnsi"/>
          <w:sz w:val="22"/>
          <w:lang w:val="de-DE"/>
        </w:rPr>
        <w:t>e</w:t>
      </w:r>
      <w:r w:rsidR="005C1A68" w:rsidRPr="005C1A68">
        <w:rPr>
          <w:rFonts w:asciiTheme="majorHAnsi" w:hAnsiTheme="majorHAnsi" w:cstheme="majorHAnsi"/>
          <w:sz w:val="22"/>
          <w:lang w:val="de-DE"/>
        </w:rPr>
        <w:t>s</w:t>
      </w:r>
      <w:r w:rsidR="005C1A68">
        <w:rPr>
          <w:rFonts w:asciiTheme="majorHAnsi" w:hAnsiTheme="majorHAnsi" w:cstheme="majorHAnsi"/>
          <w:sz w:val="22"/>
          <w:lang w:val="de-DE"/>
        </w:rPr>
        <w:t>.</w:t>
      </w:r>
    </w:p>
    <w:p w14:paraId="156C69DE" w14:textId="77777777" w:rsidR="00EE5EF4" w:rsidRPr="00E843CF" w:rsidRDefault="00EE5EF4" w:rsidP="00EE5EF4">
      <w:pPr>
        <w:pStyle w:val="berschrift1"/>
        <w:numPr>
          <w:ilvl w:val="0"/>
          <w:numId w:val="0"/>
        </w:numPr>
        <w:ind w:left="1134" w:hanging="1134"/>
        <w:rPr>
          <w:rFonts w:cstheme="majorHAnsi"/>
          <w:sz w:val="22"/>
          <w:szCs w:val="22"/>
        </w:rPr>
      </w:pPr>
      <w:r w:rsidRPr="00E843CF">
        <w:rPr>
          <w:rFonts w:cstheme="majorHAnsi"/>
          <w:sz w:val="22"/>
          <w:szCs w:val="22"/>
        </w:rPr>
        <w:lastRenderedPageBreak/>
        <w:t>Unterschriften</w:t>
      </w:r>
    </w:p>
    <w:p w14:paraId="7B2639BE" w14:textId="44056DAC" w:rsidR="00EE5EF4" w:rsidRPr="00E843CF" w:rsidRDefault="00EE5EF4" w:rsidP="00EE5EF4">
      <w:pPr>
        <w:pStyle w:val="Textkrper"/>
        <w:rPr>
          <w:rFonts w:asciiTheme="majorHAnsi" w:hAnsiTheme="majorHAnsi" w:cstheme="majorHAnsi"/>
          <w:szCs w:val="22"/>
        </w:rPr>
      </w:pPr>
      <w:r w:rsidRPr="00E843CF">
        <w:rPr>
          <w:rFonts w:asciiTheme="majorHAnsi" w:hAnsiTheme="majorHAnsi" w:cstheme="majorHAnsi"/>
          <w:szCs w:val="22"/>
        </w:rPr>
        <w:t xml:space="preserve">Unterzeichnet in [Ort] am [Datum] </w:t>
      </w:r>
      <w:r w:rsidR="00EC5907" w:rsidRPr="00E843CF">
        <w:rPr>
          <w:rFonts w:asciiTheme="majorHAnsi" w:hAnsiTheme="majorHAnsi" w:cstheme="majorHAnsi"/>
          <w:szCs w:val="22"/>
        </w:rPr>
        <w:t xml:space="preserve">[in zweifacher Ausfertigung] </w:t>
      </w:r>
      <w:r w:rsidRPr="00E843CF">
        <w:rPr>
          <w:rFonts w:asciiTheme="majorHAnsi" w:hAnsiTheme="majorHAnsi" w:cstheme="majorHAnsi"/>
          <w:szCs w:val="22"/>
        </w:rPr>
        <w:t>durch die hierzu bevollmächtigten Vertreter der Parteien.</w:t>
      </w:r>
    </w:p>
    <w:tbl>
      <w:tblPr>
        <w:tblW w:w="0" w:type="auto"/>
        <w:jc w:val="center"/>
        <w:tblLayout w:type="fixed"/>
        <w:tblLook w:val="04A0" w:firstRow="1" w:lastRow="0" w:firstColumn="1" w:lastColumn="0" w:noHBand="0" w:noVBand="1"/>
      </w:tblPr>
      <w:tblGrid>
        <w:gridCol w:w="4819"/>
        <w:gridCol w:w="4819"/>
      </w:tblGrid>
      <w:tr w:rsidR="00EE5EF4" w:rsidRPr="00E843CF" w14:paraId="71EC7AAE" w14:textId="77777777" w:rsidTr="00AD1DF9">
        <w:trPr>
          <w:cantSplit/>
          <w:tblHeader/>
          <w:jc w:val="center"/>
        </w:trPr>
        <w:tc>
          <w:tcPr>
            <w:tcW w:w="4819" w:type="dxa"/>
            <w:tcBorders>
              <w:top w:val="single" w:sz="4" w:space="0" w:color="B4C6E7"/>
              <w:left w:val="single" w:sz="4" w:space="0" w:color="B4C6E7"/>
              <w:bottom w:val="single" w:sz="4" w:space="0" w:color="B4C6E7"/>
              <w:right w:val="single" w:sz="4" w:space="0" w:color="B4C6E7"/>
            </w:tcBorders>
            <w:shd w:val="clear" w:color="auto" w:fill="002060"/>
            <w:tcMar>
              <w:top w:w="85" w:type="dxa"/>
              <w:left w:w="100" w:type="dxa"/>
              <w:bottom w:w="85" w:type="dxa"/>
              <w:right w:w="100" w:type="dxa"/>
            </w:tcMar>
            <w:vAlign w:val="center"/>
          </w:tcPr>
          <w:p w14:paraId="048234E6" w14:textId="77777777" w:rsidR="00EE5EF4" w:rsidRPr="00E843CF" w:rsidRDefault="00EE5EF4" w:rsidP="00AD1DF9">
            <w:pPr>
              <w:pStyle w:val="TableBody"/>
              <w:rPr>
                <w:rFonts w:asciiTheme="majorHAnsi" w:hAnsiTheme="majorHAnsi" w:cstheme="majorHAnsi"/>
                <w:sz w:val="22"/>
              </w:rPr>
            </w:pPr>
            <w:r w:rsidRPr="00E843CF">
              <w:rPr>
                <w:rFonts w:asciiTheme="majorHAnsi" w:hAnsiTheme="majorHAnsi" w:cstheme="majorHAnsi"/>
                <w:b/>
                <w:color w:val="FFFFFF"/>
                <w:sz w:val="22"/>
              </w:rPr>
              <w:t>Für die Deutsche Bundesbank</w:t>
            </w:r>
          </w:p>
        </w:tc>
        <w:tc>
          <w:tcPr>
            <w:tcW w:w="4819" w:type="dxa"/>
            <w:tcBorders>
              <w:top w:val="single" w:sz="4" w:space="0" w:color="B4C6E7"/>
              <w:left w:val="single" w:sz="4" w:space="0" w:color="B4C6E7"/>
              <w:bottom w:val="single" w:sz="4" w:space="0" w:color="B4C6E7"/>
              <w:right w:val="single" w:sz="4" w:space="0" w:color="B4C6E7"/>
            </w:tcBorders>
            <w:shd w:val="clear" w:color="auto" w:fill="002060"/>
            <w:tcMar>
              <w:top w:w="85" w:type="dxa"/>
              <w:left w:w="100" w:type="dxa"/>
              <w:bottom w:w="85" w:type="dxa"/>
              <w:right w:w="100" w:type="dxa"/>
            </w:tcMar>
            <w:vAlign w:val="center"/>
          </w:tcPr>
          <w:p w14:paraId="12340D3C" w14:textId="77777777" w:rsidR="00EE5EF4" w:rsidRPr="00E843CF" w:rsidRDefault="00EE5EF4" w:rsidP="00AD1DF9">
            <w:pPr>
              <w:pStyle w:val="TableBody"/>
              <w:rPr>
                <w:rFonts w:asciiTheme="majorHAnsi" w:hAnsiTheme="majorHAnsi" w:cstheme="majorHAnsi"/>
                <w:sz w:val="22"/>
              </w:rPr>
            </w:pPr>
            <w:r w:rsidRPr="00E843CF">
              <w:rPr>
                <w:rFonts w:asciiTheme="majorHAnsi" w:hAnsiTheme="majorHAnsi" w:cstheme="majorHAnsi"/>
                <w:b/>
                <w:color w:val="FFFFFF"/>
                <w:sz w:val="22"/>
              </w:rPr>
              <w:t>Für [</w:t>
            </w:r>
            <w:proofErr w:type="spellStart"/>
            <w:r w:rsidRPr="00E843CF">
              <w:rPr>
                <w:rFonts w:asciiTheme="majorHAnsi" w:hAnsiTheme="majorHAnsi" w:cstheme="majorHAnsi"/>
                <w:b/>
                <w:color w:val="FFFFFF"/>
                <w:sz w:val="22"/>
              </w:rPr>
              <w:t>Pilothändler</w:t>
            </w:r>
            <w:proofErr w:type="spellEnd"/>
            <w:r w:rsidRPr="00E843CF">
              <w:rPr>
                <w:rFonts w:asciiTheme="majorHAnsi" w:hAnsiTheme="majorHAnsi" w:cstheme="majorHAnsi"/>
                <w:b/>
                <w:color w:val="FFFFFF"/>
                <w:sz w:val="22"/>
              </w:rPr>
              <w:t>]</w:t>
            </w:r>
          </w:p>
        </w:tc>
      </w:tr>
      <w:tr w:rsidR="00EE5EF4" w:rsidRPr="00E843CF" w14:paraId="74CF7B3E" w14:textId="77777777" w:rsidTr="00AD1DF9">
        <w:trPr>
          <w:cantSplit/>
          <w:trHeight w:val="794"/>
          <w:jc w:val="center"/>
        </w:trPr>
        <w:tc>
          <w:tcPr>
            <w:tcW w:w="4819" w:type="dxa"/>
            <w:tcBorders>
              <w:top w:val="single" w:sz="4" w:space="0" w:color="B4C6E7"/>
              <w:left w:val="single" w:sz="4" w:space="0" w:color="B4C6E7"/>
              <w:bottom w:val="single" w:sz="4" w:space="0" w:color="B4C6E7"/>
              <w:right w:val="single" w:sz="4" w:space="0" w:color="B4C6E7"/>
            </w:tcBorders>
            <w:shd w:val="clear" w:color="auto" w:fill="FFFFFF"/>
            <w:tcMar>
              <w:top w:w="85" w:type="dxa"/>
              <w:left w:w="100" w:type="dxa"/>
              <w:bottom w:w="85" w:type="dxa"/>
              <w:right w:w="100" w:type="dxa"/>
            </w:tcMar>
            <w:vAlign w:val="center"/>
          </w:tcPr>
          <w:p w14:paraId="182B54C8" w14:textId="77777777" w:rsidR="00EE5EF4" w:rsidRPr="00E843CF" w:rsidRDefault="00EE5EF4" w:rsidP="00AD1DF9">
            <w:pPr>
              <w:pStyle w:val="TableBody"/>
              <w:rPr>
                <w:rFonts w:asciiTheme="majorHAnsi" w:hAnsiTheme="majorHAnsi" w:cstheme="majorHAnsi"/>
                <w:sz w:val="22"/>
              </w:rPr>
            </w:pPr>
          </w:p>
        </w:tc>
        <w:tc>
          <w:tcPr>
            <w:tcW w:w="4819" w:type="dxa"/>
            <w:tcBorders>
              <w:top w:val="single" w:sz="4" w:space="0" w:color="B4C6E7"/>
              <w:left w:val="single" w:sz="4" w:space="0" w:color="B4C6E7"/>
              <w:bottom w:val="single" w:sz="4" w:space="0" w:color="B4C6E7"/>
              <w:right w:val="single" w:sz="4" w:space="0" w:color="B4C6E7"/>
            </w:tcBorders>
            <w:shd w:val="clear" w:color="auto" w:fill="FFFFFF"/>
            <w:tcMar>
              <w:top w:w="85" w:type="dxa"/>
              <w:left w:w="100" w:type="dxa"/>
              <w:bottom w:w="85" w:type="dxa"/>
              <w:right w:w="100" w:type="dxa"/>
            </w:tcMar>
            <w:vAlign w:val="center"/>
          </w:tcPr>
          <w:p w14:paraId="516041F7" w14:textId="77777777" w:rsidR="00EE5EF4" w:rsidRPr="00E843CF" w:rsidRDefault="00EE5EF4" w:rsidP="00AD1DF9">
            <w:pPr>
              <w:pStyle w:val="TableBody"/>
              <w:rPr>
                <w:rFonts w:asciiTheme="majorHAnsi" w:hAnsiTheme="majorHAnsi" w:cstheme="majorHAnsi"/>
                <w:sz w:val="22"/>
              </w:rPr>
            </w:pPr>
          </w:p>
        </w:tc>
      </w:tr>
      <w:tr w:rsidR="00EE5EF4" w:rsidRPr="00E843CF" w14:paraId="32046226" w14:textId="77777777" w:rsidTr="00AD1DF9">
        <w:trPr>
          <w:cantSplit/>
          <w:jc w:val="center"/>
        </w:trPr>
        <w:tc>
          <w:tcPr>
            <w:tcW w:w="4819" w:type="dxa"/>
            <w:tcBorders>
              <w:top w:val="single" w:sz="4" w:space="0" w:color="B4C6E7"/>
              <w:left w:val="single" w:sz="4" w:space="0" w:color="B4C6E7"/>
              <w:bottom w:val="single" w:sz="4" w:space="0" w:color="B4C6E7"/>
              <w:right w:val="single" w:sz="4" w:space="0" w:color="B4C6E7"/>
            </w:tcBorders>
            <w:shd w:val="clear" w:color="auto" w:fill="EEF3F8"/>
            <w:tcMar>
              <w:top w:w="85" w:type="dxa"/>
              <w:left w:w="100" w:type="dxa"/>
              <w:bottom w:w="85" w:type="dxa"/>
              <w:right w:w="100" w:type="dxa"/>
            </w:tcMar>
            <w:vAlign w:val="center"/>
          </w:tcPr>
          <w:p w14:paraId="56B7E38C" w14:textId="77777777" w:rsidR="00EE5EF4" w:rsidRPr="00E843CF" w:rsidRDefault="00EE5EF4" w:rsidP="00AD1DF9">
            <w:pPr>
              <w:pStyle w:val="TableBody"/>
              <w:rPr>
                <w:rFonts w:asciiTheme="majorHAnsi" w:hAnsiTheme="majorHAnsi" w:cstheme="majorHAnsi"/>
                <w:sz w:val="22"/>
              </w:rPr>
            </w:pPr>
            <w:r w:rsidRPr="00E843CF">
              <w:rPr>
                <w:rFonts w:asciiTheme="majorHAnsi" w:hAnsiTheme="majorHAnsi" w:cstheme="majorHAnsi"/>
                <w:sz w:val="22"/>
              </w:rPr>
              <w:t xml:space="preserve">Name / </w:t>
            </w:r>
            <w:proofErr w:type="spellStart"/>
            <w:r w:rsidRPr="00E843CF">
              <w:rPr>
                <w:rFonts w:asciiTheme="majorHAnsi" w:hAnsiTheme="majorHAnsi" w:cstheme="majorHAnsi"/>
                <w:sz w:val="22"/>
              </w:rPr>
              <w:t>Funktion</w:t>
            </w:r>
            <w:proofErr w:type="spellEnd"/>
          </w:p>
        </w:tc>
        <w:tc>
          <w:tcPr>
            <w:tcW w:w="4819" w:type="dxa"/>
            <w:tcBorders>
              <w:top w:val="single" w:sz="4" w:space="0" w:color="B4C6E7"/>
              <w:left w:val="single" w:sz="4" w:space="0" w:color="B4C6E7"/>
              <w:bottom w:val="single" w:sz="4" w:space="0" w:color="B4C6E7"/>
              <w:right w:val="single" w:sz="4" w:space="0" w:color="B4C6E7"/>
            </w:tcBorders>
            <w:shd w:val="clear" w:color="auto" w:fill="EEF3F8"/>
            <w:tcMar>
              <w:top w:w="85" w:type="dxa"/>
              <w:left w:w="100" w:type="dxa"/>
              <w:bottom w:w="85" w:type="dxa"/>
              <w:right w:w="100" w:type="dxa"/>
            </w:tcMar>
            <w:vAlign w:val="center"/>
          </w:tcPr>
          <w:p w14:paraId="67A14C98" w14:textId="77777777" w:rsidR="00EE5EF4" w:rsidRPr="00E843CF" w:rsidRDefault="00EE5EF4" w:rsidP="00AD1DF9">
            <w:pPr>
              <w:pStyle w:val="TableBody"/>
              <w:rPr>
                <w:rFonts w:asciiTheme="majorHAnsi" w:hAnsiTheme="majorHAnsi" w:cstheme="majorHAnsi"/>
                <w:sz w:val="22"/>
              </w:rPr>
            </w:pPr>
            <w:r w:rsidRPr="00E843CF">
              <w:rPr>
                <w:rFonts w:asciiTheme="majorHAnsi" w:hAnsiTheme="majorHAnsi" w:cstheme="majorHAnsi"/>
                <w:sz w:val="22"/>
              </w:rPr>
              <w:t xml:space="preserve">Name / </w:t>
            </w:r>
            <w:proofErr w:type="spellStart"/>
            <w:r w:rsidRPr="00E843CF">
              <w:rPr>
                <w:rFonts w:asciiTheme="majorHAnsi" w:hAnsiTheme="majorHAnsi" w:cstheme="majorHAnsi"/>
                <w:sz w:val="22"/>
              </w:rPr>
              <w:t>Funktion</w:t>
            </w:r>
            <w:proofErr w:type="spellEnd"/>
          </w:p>
        </w:tc>
      </w:tr>
      <w:tr w:rsidR="00EE5EF4" w:rsidRPr="009A0817" w14:paraId="07E23944" w14:textId="77777777" w:rsidTr="00AD1DF9">
        <w:trPr>
          <w:cantSplit/>
          <w:jc w:val="center"/>
        </w:trPr>
        <w:tc>
          <w:tcPr>
            <w:tcW w:w="4819" w:type="dxa"/>
            <w:tcBorders>
              <w:top w:val="single" w:sz="4" w:space="0" w:color="B4C6E7"/>
              <w:left w:val="single" w:sz="4" w:space="0" w:color="B4C6E7"/>
              <w:bottom w:val="single" w:sz="4" w:space="0" w:color="B4C6E7"/>
              <w:right w:val="single" w:sz="4" w:space="0" w:color="B4C6E7"/>
            </w:tcBorders>
            <w:shd w:val="clear" w:color="auto" w:fill="FFFFFF"/>
            <w:tcMar>
              <w:top w:w="85" w:type="dxa"/>
              <w:left w:w="100" w:type="dxa"/>
              <w:bottom w:w="85" w:type="dxa"/>
              <w:right w:w="100" w:type="dxa"/>
            </w:tcMar>
            <w:vAlign w:val="center"/>
          </w:tcPr>
          <w:p w14:paraId="6D361A1A" w14:textId="77777777" w:rsidR="00EE5EF4" w:rsidRPr="00E843CF" w:rsidRDefault="00EE5EF4" w:rsidP="00AD1DF9">
            <w:pPr>
              <w:pStyle w:val="TableBody"/>
              <w:rPr>
                <w:rFonts w:asciiTheme="majorHAnsi" w:hAnsiTheme="majorHAnsi" w:cstheme="majorHAnsi"/>
                <w:sz w:val="22"/>
              </w:rPr>
            </w:pPr>
            <w:proofErr w:type="spellStart"/>
            <w:r w:rsidRPr="00E843CF">
              <w:rPr>
                <w:rFonts w:asciiTheme="majorHAnsi" w:hAnsiTheme="majorHAnsi" w:cstheme="majorHAnsi"/>
                <w:sz w:val="22"/>
              </w:rPr>
              <w:t>Unterschrift</w:t>
            </w:r>
            <w:proofErr w:type="spellEnd"/>
          </w:p>
        </w:tc>
        <w:tc>
          <w:tcPr>
            <w:tcW w:w="4819" w:type="dxa"/>
            <w:tcBorders>
              <w:top w:val="single" w:sz="4" w:space="0" w:color="B4C6E7"/>
              <w:left w:val="single" w:sz="4" w:space="0" w:color="B4C6E7"/>
              <w:bottom w:val="single" w:sz="4" w:space="0" w:color="B4C6E7"/>
              <w:right w:val="single" w:sz="4" w:space="0" w:color="B4C6E7"/>
            </w:tcBorders>
            <w:shd w:val="clear" w:color="auto" w:fill="FFFFFF"/>
            <w:tcMar>
              <w:top w:w="85" w:type="dxa"/>
              <w:left w:w="100" w:type="dxa"/>
              <w:bottom w:w="85" w:type="dxa"/>
              <w:right w:w="100" w:type="dxa"/>
            </w:tcMar>
            <w:vAlign w:val="center"/>
          </w:tcPr>
          <w:p w14:paraId="4F945087" w14:textId="77777777" w:rsidR="00EE5EF4" w:rsidRPr="009A0817" w:rsidRDefault="00EE5EF4" w:rsidP="00AD1DF9">
            <w:pPr>
              <w:pStyle w:val="TableBody"/>
              <w:rPr>
                <w:rFonts w:asciiTheme="majorHAnsi" w:hAnsiTheme="majorHAnsi" w:cstheme="majorHAnsi"/>
                <w:sz w:val="22"/>
              </w:rPr>
            </w:pPr>
            <w:proofErr w:type="spellStart"/>
            <w:r w:rsidRPr="00E843CF">
              <w:rPr>
                <w:rFonts w:asciiTheme="majorHAnsi" w:hAnsiTheme="majorHAnsi" w:cstheme="majorHAnsi"/>
                <w:sz w:val="22"/>
              </w:rPr>
              <w:t>Unterschrift</w:t>
            </w:r>
            <w:proofErr w:type="spellEnd"/>
          </w:p>
        </w:tc>
      </w:tr>
    </w:tbl>
    <w:p w14:paraId="0CBBA09A" w14:textId="77777777" w:rsidR="00EE5EF4" w:rsidRPr="009A0817" w:rsidRDefault="00EE5EF4" w:rsidP="00EE5EF4">
      <w:pPr>
        <w:spacing w:after="0"/>
        <w:rPr>
          <w:rFonts w:asciiTheme="majorHAnsi" w:hAnsiTheme="majorHAnsi" w:cstheme="majorHAnsi"/>
          <w:szCs w:val="22"/>
        </w:rPr>
      </w:pPr>
    </w:p>
    <w:p w14:paraId="150CDE95" w14:textId="77777777" w:rsidR="00EE5EF4" w:rsidRPr="009A0817" w:rsidRDefault="00EE5EF4" w:rsidP="00EE5EF4">
      <w:pPr>
        <w:rPr>
          <w:rFonts w:asciiTheme="majorHAnsi" w:hAnsiTheme="majorHAnsi" w:cstheme="majorHAnsi"/>
          <w:szCs w:val="22"/>
        </w:rPr>
      </w:pPr>
    </w:p>
    <w:p w14:paraId="55F2F7AB" w14:textId="77777777" w:rsidR="008A547B" w:rsidRPr="008B43D8" w:rsidRDefault="008A547B" w:rsidP="008B43D8"/>
    <w:sectPr w:rsidR="008A547B" w:rsidRPr="008B43D8" w:rsidSect="00EE5EF4">
      <w:headerReference w:type="default" r:id="rId10"/>
      <w:footerReference w:type="default" r:id="rId11"/>
      <w:headerReference w:type="first" r:id="rId12"/>
      <w:footerReference w:type="first" r:id="rId13"/>
      <w:pgSz w:w="11906" w:h="16838" w:code="9"/>
      <w:pgMar w:top="454" w:right="1134" w:bottom="907" w:left="1134" w:header="22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8E314" w14:textId="77777777" w:rsidR="00624188" w:rsidRDefault="00624188" w:rsidP="00095460">
      <w:pPr>
        <w:spacing w:line="240" w:lineRule="auto"/>
      </w:pPr>
      <w:r>
        <w:separator/>
      </w:r>
    </w:p>
  </w:endnote>
  <w:endnote w:type="continuationSeparator" w:id="0">
    <w:p w14:paraId="2AABAD69" w14:textId="77777777" w:rsidR="00624188" w:rsidRDefault="00624188" w:rsidP="000954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3119" w14:textId="77777777" w:rsidR="00EE5EF4" w:rsidRPr="003C27AA" w:rsidRDefault="00EE5EF4" w:rsidP="003C27AA">
    <w:pPr>
      <w:pStyle w:val="Fuzeile"/>
      <w:tabs>
        <w:tab w:val="clear" w:pos="4536"/>
        <w:tab w:val="clear" w:pos="9072"/>
        <w:tab w:val="right" w:pos="9639"/>
      </w:tabs>
    </w:pPr>
    <w:r>
      <w:tab/>
    </w:r>
    <w:sdt>
      <w:sdtPr>
        <w:alias w:val="CustomElements.Texts.Seite"/>
        <w:id w:val="1743750401"/>
        <w:dataBinding w:xpath="//Text[@id='CustomElements.Texts.Seite']" w:storeItemID="{00000000-0000-0000-0000-000000000000}"/>
        <w:text w:multiLine="1"/>
      </w:sdtPr>
      <w:sdtContent>
        <w:r>
          <w:t>Seite</w:t>
        </w:r>
      </w:sdtContent>
    </w:sdt>
    <w:r>
      <w:t xml:space="preserve"> </w:t>
    </w:r>
    <w:r w:rsidRPr="00C64562">
      <w:fldChar w:fldCharType="begin"/>
    </w:r>
    <w:r w:rsidRPr="00C64562">
      <w:instrText>PAGE  \* Arabic  \* MERGEFORMAT</w:instrText>
    </w:r>
    <w:r w:rsidRPr="00C64562">
      <w:fldChar w:fldCharType="separate"/>
    </w:r>
    <w:r>
      <w:rPr>
        <w:noProof/>
      </w:rPr>
      <w:t>2</w:t>
    </w:r>
    <w:r w:rsidRPr="00C64562">
      <w:fldChar w:fldCharType="end"/>
    </w:r>
    <w:r w:rsidRPr="00C64562">
      <w:t xml:space="preserve"> </w:t>
    </w:r>
    <w:sdt>
      <w:sdtPr>
        <w:alias w:val="CustomElements.Texts.Von"/>
        <w:id w:val="-816725728"/>
        <w:dataBinding w:xpath="//Text[@id='CustomElements.Texts.Von']" w:storeItemID="{00000000-0000-0000-0000-000000000000}"/>
        <w:text w:multiLine="1"/>
      </w:sdtPr>
      <w:sdtContent>
        <w:r>
          <w:t>von</w:t>
        </w:r>
      </w:sdtContent>
    </w:sdt>
    <w:r w:rsidRPr="00C64562">
      <w:t xml:space="preserve"> </w:t>
    </w:r>
    <w:fldSimple w:instr="NUMPAGES  \* Arabic  \* MERGEFORMAT">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8D83" w14:textId="77777777" w:rsidR="00EE5EF4" w:rsidRPr="003C27AA" w:rsidRDefault="00EE5EF4" w:rsidP="003C27AA">
    <w:pPr>
      <w:pStyle w:val="Fuzeile"/>
      <w:tabs>
        <w:tab w:val="clear" w:pos="4536"/>
        <w:tab w:val="clear" w:pos="9072"/>
        <w:tab w:val="right" w:pos="9639"/>
      </w:tabs>
    </w:pPr>
    <w:r>
      <w:tab/>
    </w:r>
    <w:sdt>
      <w:sdtPr>
        <w:alias w:val="CustomElements.Texts.Seite"/>
        <w:id w:val="-586161040"/>
        <w:dataBinding w:xpath="//Text[@id='CustomElements.Texts.Seite']" w:storeItemID="{00000000-0000-0000-0000-000000000000}"/>
        <w:text w:multiLine="1"/>
      </w:sdtPr>
      <w:sdtContent>
        <w:r>
          <w:t>Seite</w:t>
        </w:r>
      </w:sdtContent>
    </w:sdt>
    <w:r>
      <w:t xml:space="preserve"> </w:t>
    </w:r>
    <w:r w:rsidRPr="00C64562">
      <w:fldChar w:fldCharType="begin"/>
    </w:r>
    <w:r w:rsidRPr="00C64562">
      <w:instrText>PAGE  \* Arabic  \* MERGEFORMAT</w:instrText>
    </w:r>
    <w:r w:rsidRPr="00C64562">
      <w:fldChar w:fldCharType="separate"/>
    </w:r>
    <w:r>
      <w:rPr>
        <w:noProof/>
      </w:rPr>
      <w:t>1</w:t>
    </w:r>
    <w:r w:rsidRPr="00C64562">
      <w:fldChar w:fldCharType="end"/>
    </w:r>
    <w:r w:rsidRPr="00C64562">
      <w:t xml:space="preserve"> </w:t>
    </w:r>
    <w:sdt>
      <w:sdtPr>
        <w:alias w:val="CustomElements.Texts.Von"/>
        <w:id w:val="-111207947"/>
        <w:dataBinding w:xpath="//Text[@id='CustomElements.Texts.Von']" w:storeItemID="{00000000-0000-0000-0000-000000000000}"/>
        <w:text w:multiLine="1"/>
      </w:sdtPr>
      <w:sdtContent>
        <w:r>
          <w:t>von</w:t>
        </w:r>
      </w:sdtContent>
    </w:sdt>
    <w:r w:rsidRPr="00C64562">
      <w:t xml:space="preserve"> </w:t>
    </w:r>
    <w:fldSimple w:instr="NUMPAGES  \* Arabic  \* MERGEFORMAT">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B7399" w14:textId="77777777" w:rsidR="00624188" w:rsidRPr="00613611" w:rsidRDefault="00624188" w:rsidP="00613611">
      <w:pPr>
        <w:pStyle w:val="Fuzeile"/>
        <w:rPr>
          <w:sz w:val="22"/>
          <w:szCs w:val="22"/>
        </w:rPr>
      </w:pPr>
      <w:r>
        <w:rPr>
          <w:sz w:val="22"/>
          <w:szCs w:val="22"/>
        </w:rPr>
        <w:t>__________</w:t>
      </w:r>
    </w:p>
  </w:footnote>
  <w:footnote w:type="continuationSeparator" w:id="0">
    <w:p w14:paraId="34256A40" w14:textId="77777777" w:rsidR="00624188" w:rsidRDefault="00624188" w:rsidP="00095460">
      <w:pPr>
        <w:spacing w:line="240" w:lineRule="auto"/>
      </w:pPr>
      <w:r>
        <w:continuationSeparator/>
      </w:r>
    </w:p>
  </w:footnote>
  <w:footnote w:id="1">
    <w:p w14:paraId="422D57F7" w14:textId="77777777" w:rsidR="00FC07EB" w:rsidRDefault="00FC07EB" w:rsidP="00FC07EB">
      <w:pPr>
        <w:pStyle w:val="Funotentext"/>
      </w:pPr>
      <w:r>
        <w:rPr>
          <w:rStyle w:val="Funotenzeichen"/>
        </w:rPr>
        <w:footnoteRef/>
      </w:r>
      <w:r>
        <w:t xml:space="preserve"> Richtlinie (EU) 2015/2366 des Europäischen Parlaments und des Rates vom 25. November 2015 über Zahlungsdienste im Binnenmarkt, zur Änderung der Richtlinien 2002/65/EG, 2009/110/EG und 2013/36/EU und der Verordnung (EU) Nr. 1093/2010 sowie zur Aufhebung der Richtlinie 2007/64/EG: </w:t>
      </w:r>
      <w:hyperlink r:id="rId1" w:history="1">
        <w:r>
          <w:rPr>
            <w:rStyle w:val="Hyperlink"/>
          </w:rPr>
          <w:t>L_2015337DE.01003501.xml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D658" w14:textId="77777777" w:rsidR="00EE5EF4" w:rsidRDefault="00EE5EF4" w:rsidP="004C4376">
    <w:pPr>
      <w:pStyle w:val="InvisibleLine"/>
      <w:spacing w:before="192"/>
    </w:pPr>
    <w:r>
      <w:t> </w:t>
    </w:r>
  </w:p>
  <w:p w14:paraId="5E10BE24" w14:textId="77777777" w:rsidR="00EE5EF4" w:rsidRPr="009A4786" w:rsidRDefault="00EE5EF4" w:rsidP="009A4786">
    <w:pPr>
      <w:pStyle w:val="Kopfzeile"/>
      <w:tabs>
        <w:tab w:val="clear" w:pos="4536"/>
        <w:tab w:val="clear" w:pos="9072"/>
        <w:tab w:val="left" w:pos="2760"/>
      </w:tabs>
    </w:pPr>
  </w:p>
  <w:bookmarkStart w:id="3" w:name="cs_2c18dafcfc68482a8514ecb5d68e96cf"/>
  <w:p w14:paraId="435B528E" w14:textId="77777777" w:rsidR="00EE5EF4" w:rsidRPr="00E817F2" w:rsidRDefault="00000000" w:rsidP="00E817F2">
    <w:pPr>
      <w:pStyle w:val="StandardOhneAbsatz"/>
      <w:spacing w:before="184" w:after="312"/>
      <w:jc w:val="right"/>
      <w:rPr>
        <w:color w:val="C00000"/>
      </w:rPr>
    </w:pPr>
    <w:sdt>
      <w:sdtPr>
        <w:rPr>
          <w:color w:val="C00000"/>
        </w:rPr>
        <w:alias w:val="CustomElements.Vertraulichkeitsstufe"/>
        <w:id w:val="-1894106641"/>
        <w:dataBinding w:xpath="//Text[@id='CustomElements.Vertraulichkeitsstufe']" w:storeItemID="{00000000-0000-0000-0000-000000000000}"/>
        <w:text w:multiLine="1"/>
      </w:sdtPr>
      <w:sdtContent>
        <w:r w:rsidR="00EE5EF4">
          <w:rPr>
            <w:color w:val="C00000"/>
          </w:rPr>
          <w:t xml:space="preserve"> </w:t>
        </w:r>
      </w:sdtContent>
    </w:sdt>
  </w:p>
  <w:bookmarkEnd w:id="3"/>
  <w:p w14:paraId="217AE582" w14:textId="77777777" w:rsidR="00EE5EF4" w:rsidRDefault="00EE5EF4" w:rsidP="00265A86">
    <w:pPr>
      <w:pStyle w:val="InvisibleLi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FE8A" w14:textId="77777777" w:rsidR="00EE5EF4" w:rsidRPr="00ED4AF4" w:rsidRDefault="00EE5EF4" w:rsidP="00ED4AF4">
    <w:pPr>
      <w:pStyle w:val="InvisibleLine"/>
    </w:pPr>
    <w:r w:rsidRPr="00ED4AF4">
      <w:t> </w:t>
    </w:r>
  </w:p>
  <w:p w14:paraId="7E05C799" w14:textId="77777777" w:rsidR="00EE5EF4" w:rsidRDefault="00EE5EF4" w:rsidP="00237C7C">
    <w:pPr>
      <w:pStyle w:val="InvisibleLine"/>
    </w:pPr>
    <w:bookmarkStart w:id="4" w:name="cs_220d7d9724e347c6bf3ea5247f7ffc0f"/>
  </w:p>
  <w:bookmarkEnd w:id="4"/>
  <w:p w14:paraId="3EC7461F" w14:textId="77777777" w:rsidR="00EE5EF4" w:rsidRPr="004C4376" w:rsidRDefault="00EE5EF4" w:rsidP="004C4376">
    <w:pPr>
      <w:pStyle w:val="InvisibleLine"/>
    </w:pPr>
    <w:r w:rsidRPr="004C4376">
      <w:t> </w:t>
    </w:r>
  </w:p>
  <w:p w14:paraId="7DD9F1BE" w14:textId="77777777" w:rsidR="00EE5EF4" w:rsidRDefault="00EE5EF4" w:rsidP="00DD4F39">
    <w:pPr>
      <w:pStyle w:val="Kopfzeile"/>
      <w:tabs>
        <w:tab w:val="clear" w:pos="4536"/>
        <w:tab w:val="clear" w:pos="9072"/>
        <w:tab w:val="left" w:pos="98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64F"/>
    <w:multiLevelType w:val="hybridMultilevel"/>
    <w:tmpl w:val="BA607DE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32B2722"/>
    <w:multiLevelType w:val="multilevel"/>
    <w:tmpl w:val="3864C5FE"/>
    <w:lvl w:ilvl="0">
      <w:start w:val="1"/>
      <w:numFmt w:val="decimal"/>
      <w:pStyle w:val="NummerierungEbene1"/>
      <w:lvlText w:val="%1"/>
      <w:lvlJc w:val="left"/>
      <w:pPr>
        <w:tabs>
          <w:tab w:val="num" w:pos="357"/>
        </w:tabs>
        <w:ind w:left="357" w:hanging="357"/>
      </w:pPr>
      <w:rPr>
        <w:rFonts w:hint="default"/>
      </w:rPr>
    </w:lvl>
    <w:lvl w:ilvl="1">
      <w:start w:val="1"/>
      <w:numFmt w:val="decimal"/>
      <w:pStyle w:val="NummerierungEbene2"/>
      <w:lvlText w:val="%1.%2"/>
      <w:lvlJc w:val="left"/>
      <w:pPr>
        <w:tabs>
          <w:tab w:val="num" w:pos="792"/>
        </w:tabs>
        <w:ind w:left="792" w:hanging="432"/>
      </w:pPr>
      <w:rPr>
        <w:rFonts w:hint="default"/>
      </w:rPr>
    </w:lvl>
    <w:lvl w:ilvl="2">
      <w:start w:val="1"/>
      <w:numFmt w:val="decimal"/>
      <w:pStyle w:val="NummerierungEbene3"/>
      <w:lvlText w:val="%1.%2.%3"/>
      <w:lvlJc w:val="left"/>
      <w:pPr>
        <w:tabs>
          <w:tab w:val="num" w:pos="1361"/>
        </w:tabs>
        <w:ind w:left="1361" w:hanging="567"/>
      </w:pPr>
      <w:rPr>
        <w:rFonts w:hint="default"/>
      </w:rPr>
    </w:lvl>
    <w:lvl w:ilvl="3">
      <w:start w:val="1"/>
      <w:numFmt w:val="decimal"/>
      <w:pStyle w:val="NummerierungEbene4"/>
      <w:lvlText w:val="%1.%2.%3.%4"/>
      <w:lvlJc w:val="left"/>
      <w:pPr>
        <w:tabs>
          <w:tab w:val="num" w:pos="2098"/>
        </w:tabs>
        <w:ind w:left="2098" w:hanging="737"/>
      </w:pPr>
      <w:rPr>
        <w:rFonts w:hint="default"/>
      </w:rPr>
    </w:lvl>
    <w:lvl w:ilvl="4">
      <w:start w:val="1"/>
      <w:numFmt w:val="decimal"/>
      <w:pStyle w:val="NummerierungEbene5"/>
      <w:lvlText w:val="%1.%2.%3.%4.%5"/>
      <w:lvlJc w:val="left"/>
      <w:pPr>
        <w:tabs>
          <w:tab w:val="num" w:pos="3062"/>
        </w:tabs>
        <w:ind w:left="3062" w:hanging="964"/>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3E47D69"/>
    <w:multiLevelType w:val="multilevel"/>
    <w:tmpl w:val="ECDEB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927C1"/>
    <w:multiLevelType w:val="hybridMultilevel"/>
    <w:tmpl w:val="8CA06DFA"/>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66C1642"/>
    <w:multiLevelType w:val="hybridMultilevel"/>
    <w:tmpl w:val="4F1EBF3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077E23B2"/>
    <w:multiLevelType w:val="hybridMultilevel"/>
    <w:tmpl w:val="567C61C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8FB4168"/>
    <w:multiLevelType w:val="hybridMultilevel"/>
    <w:tmpl w:val="0A84EA3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0C0437B8"/>
    <w:multiLevelType w:val="hybridMultilevel"/>
    <w:tmpl w:val="FBD0E0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6E7132"/>
    <w:multiLevelType w:val="multilevel"/>
    <w:tmpl w:val="98080658"/>
    <w:styleLink w:val="GliederungNummerierung"/>
    <w:lvl w:ilvl="0">
      <w:start w:val="1"/>
      <w:numFmt w:val="decimal"/>
      <w:pStyle w:val="GliederungmitNummerierung"/>
      <w:lvlText w:val="%1"/>
      <w:lvlJc w:val="left"/>
      <w:pPr>
        <w:tabs>
          <w:tab w:val="num" w:pos="357"/>
        </w:tabs>
        <w:ind w:left="360" w:hanging="360"/>
      </w:pPr>
      <w:rPr>
        <w:rFonts w:asciiTheme="minorHAnsi" w:hAnsiTheme="minorHAnsi" w:hint="default"/>
        <w:sz w:val="22"/>
      </w:rPr>
    </w:lvl>
    <w:lvl w:ilvl="1">
      <w:start w:val="1"/>
      <w:numFmt w:val="decimal"/>
      <w:lvlText w:val="%1.%2"/>
      <w:lvlJc w:val="left"/>
      <w:pPr>
        <w:tabs>
          <w:tab w:val="num" w:pos="794"/>
        </w:tabs>
        <w:ind w:left="794" w:hanging="434"/>
      </w:pPr>
      <w:rPr>
        <w:rFonts w:hint="default"/>
      </w:rPr>
    </w:lvl>
    <w:lvl w:ilvl="2">
      <w:start w:val="1"/>
      <w:numFmt w:val="decimal"/>
      <w:lvlText w:val="%1.%2.%3"/>
      <w:lvlJc w:val="left"/>
      <w:pPr>
        <w:tabs>
          <w:tab w:val="num" w:pos="1361"/>
        </w:tabs>
        <w:ind w:left="1361" w:hanging="567"/>
      </w:pPr>
      <w:rPr>
        <w:rFonts w:hint="default"/>
      </w:rPr>
    </w:lvl>
    <w:lvl w:ilvl="3">
      <w:start w:val="1"/>
      <w:numFmt w:val="decimal"/>
      <w:lvlText w:val="%1.%2.%3.%4"/>
      <w:lvlJc w:val="left"/>
      <w:pPr>
        <w:tabs>
          <w:tab w:val="num" w:pos="1440"/>
        </w:tabs>
        <w:ind w:left="2098" w:hanging="737"/>
      </w:pPr>
      <w:rPr>
        <w:rFonts w:hint="default"/>
      </w:rPr>
    </w:lvl>
    <w:lvl w:ilvl="4">
      <w:start w:val="1"/>
      <w:numFmt w:val="decimal"/>
      <w:lvlText w:val="%1.%2.%3.%4.%5"/>
      <w:lvlJc w:val="left"/>
      <w:pPr>
        <w:tabs>
          <w:tab w:val="num" w:pos="2098"/>
        </w:tabs>
        <w:ind w:left="3062" w:hanging="964"/>
      </w:pPr>
      <w:rPr>
        <w:rFonts w:hint="default"/>
      </w:rPr>
    </w:lvl>
    <w:lvl w:ilvl="5">
      <w:start w:val="1"/>
      <w:numFmt w:val="none"/>
      <w:lvlRestart w:val="0"/>
      <w:lvlText w:val=""/>
      <w:lvlJc w:val="left"/>
      <w:pPr>
        <w:ind w:left="0" w:firstLine="0"/>
      </w:pPr>
      <w:rPr>
        <w:rFonts w:hint="default"/>
      </w:rPr>
    </w:lvl>
    <w:lvl w:ilvl="6">
      <w:start w:val="1"/>
      <w:numFmt w:val="none"/>
      <w:lvlRestart w:val="0"/>
      <w:lvlText w:val="%7"/>
      <w:lvlJc w:val="left"/>
      <w:pPr>
        <w:ind w:left="0" w:firstLine="0"/>
      </w:pPr>
      <w:rPr>
        <w:rFonts w:hint="default"/>
      </w:rPr>
    </w:lvl>
    <w:lvl w:ilvl="7">
      <w:start w:val="1"/>
      <w:numFmt w:val="none"/>
      <w:lvlRestart w:val="0"/>
      <w:lvlText w:val="%8"/>
      <w:lvlJc w:val="left"/>
      <w:pPr>
        <w:ind w:left="0" w:firstLine="0"/>
      </w:pPr>
      <w:rPr>
        <w:rFonts w:hint="default"/>
      </w:rPr>
    </w:lvl>
    <w:lvl w:ilvl="8">
      <w:start w:val="1"/>
      <w:numFmt w:val="none"/>
      <w:lvlRestart w:val="0"/>
      <w:lvlText w:val="%9"/>
      <w:lvlJc w:val="left"/>
      <w:pPr>
        <w:ind w:left="0" w:firstLine="0"/>
      </w:pPr>
      <w:rPr>
        <w:rFonts w:hint="default"/>
      </w:rPr>
    </w:lvl>
  </w:abstractNum>
  <w:abstractNum w:abstractNumId="9" w15:restartNumberingAfterBreak="0">
    <w:nsid w:val="10900832"/>
    <w:multiLevelType w:val="multilevel"/>
    <w:tmpl w:val="D81C4A1A"/>
    <w:lvl w:ilvl="0">
      <w:start w:val="1"/>
      <w:numFmt w:val="upperLetter"/>
      <w:pStyle w:val="Anhangberschrift1"/>
      <w:lvlText w:val="%1"/>
      <w:lvlJc w:val="left"/>
      <w:pPr>
        <w:tabs>
          <w:tab w:val="num" w:pos="851"/>
        </w:tabs>
        <w:ind w:left="851" w:hanging="851"/>
      </w:pPr>
      <w:rPr>
        <w:rFonts w:hint="default"/>
      </w:rPr>
    </w:lvl>
    <w:lvl w:ilvl="1">
      <w:start w:val="1"/>
      <w:numFmt w:val="upperRoman"/>
      <w:pStyle w:val="Anhangberschrift2"/>
      <w:lvlText w:val="%2"/>
      <w:lvlJc w:val="left"/>
      <w:pPr>
        <w:tabs>
          <w:tab w:val="num" w:pos="851"/>
        </w:tabs>
        <w:ind w:left="851" w:hanging="851"/>
      </w:pPr>
      <w:rPr>
        <w:rFonts w:hint="default"/>
      </w:rPr>
    </w:lvl>
    <w:lvl w:ilvl="2">
      <w:start w:val="1"/>
      <w:numFmt w:val="upperRoman"/>
      <w:pStyle w:val="Anhangberschrift3"/>
      <w:lvlText w:val="%2.%3"/>
      <w:lvlJc w:val="left"/>
      <w:pPr>
        <w:tabs>
          <w:tab w:val="num" w:pos="851"/>
        </w:tabs>
        <w:ind w:left="851" w:hanging="851"/>
      </w:pPr>
      <w:rPr>
        <w:rFonts w:hint="default"/>
      </w:rPr>
    </w:lvl>
    <w:lvl w:ilvl="3">
      <w:start w:val="1"/>
      <w:numFmt w:val="upperRoman"/>
      <w:pStyle w:val="Anhangberschrift4"/>
      <w:lvlText w:val="%2.%3.%4"/>
      <w:lvlJc w:val="left"/>
      <w:pPr>
        <w:tabs>
          <w:tab w:val="num" w:pos="851"/>
        </w:tabs>
        <w:ind w:left="851" w:hanging="851"/>
      </w:pPr>
      <w:rPr>
        <w:rFonts w:hint="default"/>
      </w:rPr>
    </w:lvl>
    <w:lvl w:ilvl="4">
      <w:start w:val="1"/>
      <w:numFmt w:val="upperRoman"/>
      <w:pStyle w:val="Anhangberschrift5"/>
      <w:lvlText w:val="%2.%3.%4.%5"/>
      <w:lvlJc w:val="left"/>
      <w:pPr>
        <w:tabs>
          <w:tab w:val="num" w:pos="851"/>
        </w:tabs>
        <w:ind w:left="851" w:hanging="851"/>
      </w:pPr>
      <w:rPr>
        <w:rFonts w:hint="default"/>
      </w:rPr>
    </w:lvl>
    <w:lvl w:ilvl="5">
      <w:start w:val="1"/>
      <w:numFmt w:val="decimal"/>
      <w:lvlText w:val="%1.%2.%3.%4.%5.%6"/>
      <w:lvlJc w:val="left"/>
      <w:pPr>
        <w:tabs>
          <w:tab w:val="num" w:pos="851"/>
        </w:tabs>
        <w:ind w:left="851" w:hanging="851"/>
      </w:pPr>
      <w:rPr>
        <w:rFonts w:hint="default"/>
      </w:rPr>
    </w:lvl>
    <w:lvl w:ilvl="6">
      <w:start w:val="1"/>
      <w:numFmt w:val="decimal"/>
      <w:lvlText w:val="%1.%2.%3.%4.%5.%6.%7"/>
      <w:lvlJc w:val="left"/>
      <w:pPr>
        <w:tabs>
          <w:tab w:val="num" w:pos="851"/>
        </w:tabs>
        <w:ind w:left="851" w:hanging="851"/>
      </w:pPr>
      <w:rPr>
        <w:rFonts w:hint="default"/>
      </w:rPr>
    </w:lvl>
    <w:lvl w:ilvl="7">
      <w:start w:val="1"/>
      <w:numFmt w:val="decimal"/>
      <w:lvlText w:val="%1.%2.%3.%4.%5.%6.%7.%8"/>
      <w:lvlJc w:val="left"/>
      <w:pPr>
        <w:tabs>
          <w:tab w:val="num" w:pos="851"/>
        </w:tabs>
        <w:ind w:left="851" w:hanging="851"/>
      </w:pPr>
      <w:rPr>
        <w:rFonts w:hint="default"/>
      </w:rPr>
    </w:lvl>
    <w:lvl w:ilvl="8">
      <w:start w:val="1"/>
      <w:numFmt w:val="decimal"/>
      <w:lvlText w:val="%1.%2.%3.%4.%5.%6.%7.%8.%9"/>
      <w:lvlJc w:val="left"/>
      <w:pPr>
        <w:tabs>
          <w:tab w:val="num" w:pos="851"/>
        </w:tabs>
        <w:ind w:left="851" w:hanging="851"/>
      </w:pPr>
      <w:rPr>
        <w:rFonts w:hint="default"/>
      </w:rPr>
    </w:lvl>
  </w:abstractNum>
  <w:abstractNum w:abstractNumId="10" w15:restartNumberingAfterBreak="0">
    <w:nsid w:val="12173F15"/>
    <w:multiLevelType w:val="multilevel"/>
    <w:tmpl w:val="A2D0B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5320FD"/>
    <w:multiLevelType w:val="hybridMultilevel"/>
    <w:tmpl w:val="5B72867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2DD5D4E"/>
    <w:multiLevelType w:val="hybridMultilevel"/>
    <w:tmpl w:val="715C547C"/>
    <w:lvl w:ilvl="0" w:tplc="B0B0F17E">
      <w:start w:val="1"/>
      <w:numFmt w:val="bullet"/>
      <w:lvlText w:val=""/>
      <w:lvlJc w:val="left"/>
      <w:pPr>
        <w:ind w:left="720" w:hanging="360"/>
      </w:pPr>
      <w:rPr>
        <w:rFonts w:ascii="Symbol" w:hAnsi="Symbol"/>
      </w:rPr>
    </w:lvl>
    <w:lvl w:ilvl="1" w:tplc="0FD25A58">
      <w:start w:val="1"/>
      <w:numFmt w:val="bullet"/>
      <w:lvlText w:val=""/>
      <w:lvlJc w:val="left"/>
      <w:pPr>
        <w:ind w:left="720" w:hanging="360"/>
      </w:pPr>
      <w:rPr>
        <w:rFonts w:ascii="Symbol" w:hAnsi="Symbol"/>
      </w:rPr>
    </w:lvl>
    <w:lvl w:ilvl="2" w:tplc="72C0915A">
      <w:start w:val="1"/>
      <w:numFmt w:val="bullet"/>
      <w:lvlText w:val=""/>
      <w:lvlJc w:val="left"/>
      <w:pPr>
        <w:ind w:left="720" w:hanging="360"/>
      </w:pPr>
      <w:rPr>
        <w:rFonts w:ascii="Symbol" w:hAnsi="Symbol"/>
      </w:rPr>
    </w:lvl>
    <w:lvl w:ilvl="3" w:tplc="B69AE058">
      <w:start w:val="1"/>
      <w:numFmt w:val="bullet"/>
      <w:lvlText w:val=""/>
      <w:lvlJc w:val="left"/>
      <w:pPr>
        <w:ind w:left="720" w:hanging="360"/>
      </w:pPr>
      <w:rPr>
        <w:rFonts w:ascii="Symbol" w:hAnsi="Symbol"/>
      </w:rPr>
    </w:lvl>
    <w:lvl w:ilvl="4" w:tplc="25CA1944">
      <w:start w:val="1"/>
      <w:numFmt w:val="bullet"/>
      <w:lvlText w:val=""/>
      <w:lvlJc w:val="left"/>
      <w:pPr>
        <w:ind w:left="720" w:hanging="360"/>
      </w:pPr>
      <w:rPr>
        <w:rFonts w:ascii="Symbol" w:hAnsi="Symbol"/>
      </w:rPr>
    </w:lvl>
    <w:lvl w:ilvl="5" w:tplc="959C0E3E">
      <w:start w:val="1"/>
      <w:numFmt w:val="bullet"/>
      <w:lvlText w:val=""/>
      <w:lvlJc w:val="left"/>
      <w:pPr>
        <w:ind w:left="720" w:hanging="360"/>
      </w:pPr>
      <w:rPr>
        <w:rFonts w:ascii="Symbol" w:hAnsi="Symbol"/>
      </w:rPr>
    </w:lvl>
    <w:lvl w:ilvl="6" w:tplc="D64EF9E8">
      <w:start w:val="1"/>
      <w:numFmt w:val="bullet"/>
      <w:lvlText w:val=""/>
      <w:lvlJc w:val="left"/>
      <w:pPr>
        <w:ind w:left="720" w:hanging="360"/>
      </w:pPr>
      <w:rPr>
        <w:rFonts w:ascii="Symbol" w:hAnsi="Symbol"/>
      </w:rPr>
    </w:lvl>
    <w:lvl w:ilvl="7" w:tplc="BA5ABAC6">
      <w:start w:val="1"/>
      <w:numFmt w:val="bullet"/>
      <w:lvlText w:val=""/>
      <w:lvlJc w:val="left"/>
      <w:pPr>
        <w:ind w:left="720" w:hanging="360"/>
      </w:pPr>
      <w:rPr>
        <w:rFonts w:ascii="Symbol" w:hAnsi="Symbol"/>
      </w:rPr>
    </w:lvl>
    <w:lvl w:ilvl="8" w:tplc="B2061028">
      <w:start w:val="1"/>
      <w:numFmt w:val="bullet"/>
      <w:lvlText w:val=""/>
      <w:lvlJc w:val="left"/>
      <w:pPr>
        <w:ind w:left="720" w:hanging="360"/>
      </w:pPr>
      <w:rPr>
        <w:rFonts w:ascii="Symbol" w:hAnsi="Symbol"/>
      </w:rPr>
    </w:lvl>
  </w:abstractNum>
  <w:abstractNum w:abstractNumId="13" w15:restartNumberingAfterBreak="0">
    <w:nsid w:val="17670C10"/>
    <w:multiLevelType w:val="hybridMultilevel"/>
    <w:tmpl w:val="9DF43B6C"/>
    <w:lvl w:ilvl="0" w:tplc="717E7552">
      <w:start w:val="1"/>
      <w:numFmt w:val="decimal"/>
      <w:pStyle w:val="Nummerieru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8B45D04"/>
    <w:multiLevelType w:val="hybridMultilevel"/>
    <w:tmpl w:val="FBD0E0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9993486"/>
    <w:multiLevelType w:val="hybridMultilevel"/>
    <w:tmpl w:val="CBD6881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1C407D16"/>
    <w:multiLevelType w:val="hybridMultilevel"/>
    <w:tmpl w:val="68FE6C3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1D336054"/>
    <w:multiLevelType w:val="hybridMultilevel"/>
    <w:tmpl w:val="58D6A088"/>
    <w:lvl w:ilvl="0" w:tplc="6AFEFE52">
      <w:start w:val="1"/>
      <w:numFmt w:val="decimal"/>
      <w:pStyle w:val="Nummerierung1"/>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1E462C2A"/>
    <w:multiLevelType w:val="hybridMultilevel"/>
    <w:tmpl w:val="F3802A36"/>
    <w:lvl w:ilvl="0" w:tplc="FFFFFFFF">
      <w:start w:val="1"/>
      <w:numFmt w:val="lowerLetter"/>
      <w:lvlText w:val="%1)"/>
      <w:lvlJc w:val="left"/>
      <w:pPr>
        <w:ind w:left="720" w:hanging="360"/>
      </w:pPr>
    </w:lvl>
    <w:lvl w:ilvl="1" w:tplc="04070017">
      <w:start w:val="1"/>
      <w:numFmt w:val="lowerLetter"/>
      <w:lvlText w:val="%2)"/>
      <w:lvlJc w:val="left"/>
      <w:pPr>
        <w:ind w:left="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1B42FBD"/>
    <w:multiLevelType w:val="hybridMultilevel"/>
    <w:tmpl w:val="A8B47FF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21CD7480"/>
    <w:multiLevelType w:val="hybridMultilevel"/>
    <w:tmpl w:val="DBA2873A"/>
    <w:lvl w:ilvl="0" w:tplc="2200B7D0">
      <w:start w:val="1"/>
      <w:numFmt w:val="bullet"/>
      <w:pStyle w:val="AufzhlungBullett"/>
      <w:lvlText w:val=""/>
      <w:lvlJc w:val="left"/>
      <w:pPr>
        <w:ind w:left="720" w:hanging="360"/>
      </w:pPr>
      <w:rPr>
        <w:rFonts w:ascii="Symbol" w:hAnsi="Symbol" w:hint="default"/>
        <w:b w:val="0"/>
        <w:i w:val="0"/>
        <w:sz w:val="22"/>
        <w:szCs w:val="2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7D72A95"/>
    <w:multiLevelType w:val="hybridMultilevel"/>
    <w:tmpl w:val="0D12D1AA"/>
    <w:lvl w:ilvl="0" w:tplc="04070017">
      <w:start w:val="1"/>
      <w:numFmt w:val="lowerLetter"/>
      <w:lvlText w:val="%1)"/>
      <w:lvlJc w:val="left"/>
      <w:pPr>
        <w:ind w:left="689" w:hanging="360"/>
      </w:pPr>
    </w:lvl>
    <w:lvl w:ilvl="1" w:tplc="FFFFFFFF" w:tentative="1">
      <w:start w:val="1"/>
      <w:numFmt w:val="lowerLetter"/>
      <w:lvlText w:val="%2."/>
      <w:lvlJc w:val="left"/>
      <w:pPr>
        <w:ind w:left="1409" w:hanging="360"/>
      </w:pPr>
    </w:lvl>
    <w:lvl w:ilvl="2" w:tplc="FFFFFFFF" w:tentative="1">
      <w:start w:val="1"/>
      <w:numFmt w:val="lowerRoman"/>
      <w:lvlText w:val="%3."/>
      <w:lvlJc w:val="right"/>
      <w:pPr>
        <w:ind w:left="2129" w:hanging="180"/>
      </w:pPr>
    </w:lvl>
    <w:lvl w:ilvl="3" w:tplc="FFFFFFFF" w:tentative="1">
      <w:start w:val="1"/>
      <w:numFmt w:val="decimal"/>
      <w:lvlText w:val="%4."/>
      <w:lvlJc w:val="left"/>
      <w:pPr>
        <w:ind w:left="2849" w:hanging="360"/>
      </w:pPr>
    </w:lvl>
    <w:lvl w:ilvl="4" w:tplc="FFFFFFFF" w:tentative="1">
      <w:start w:val="1"/>
      <w:numFmt w:val="lowerLetter"/>
      <w:lvlText w:val="%5."/>
      <w:lvlJc w:val="left"/>
      <w:pPr>
        <w:ind w:left="3569" w:hanging="360"/>
      </w:pPr>
    </w:lvl>
    <w:lvl w:ilvl="5" w:tplc="FFFFFFFF" w:tentative="1">
      <w:start w:val="1"/>
      <w:numFmt w:val="lowerRoman"/>
      <w:lvlText w:val="%6."/>
      <w:lvlJc w:val="right"/>
      <w:pPr>
        <w:ind w:left="4289" w:hanging="180"/>
      </w:pPr>
    </w:lvl>
    <w:lvl w:ilvl="6" w:tplc="FFFFFFFF" w:tentative="1">
      <w:start w:val="1"/>
      <w:numFmt w:val="decimal"/>
      <w:lvlText w:val="%7."/>
      <w:lvlJc w:val="left"/>
      <w:pPr>
        <w:ind w:left="5009" w:hanging="360"/>
      </w:pPr>
    </w:lvl>
    <w:lvl w:ilvl="7" w:tplc="FFFFFFFF" w:tentative="1">
      <w:start w:val="1"/>
      <w:numFmt w:val="lowerLetter"/>
      <w:lvlText w:val="%8."/>
      <w:lvlJc w:val="left"/>
      <w:pPr>
        <w:ind w:left="5729" w:hanging="360"/>
      </w:pPr>
    </w:lvl>
    <w:lvl w:ilvl="8" w:tplc="FFFFFFFF" w:tentative="1">
      <w:start w:val="1"/>
      <w:numFmt w:val="lowerRoman"/>
      <w:lvlText w:val="%9."/>
      <w:lvlJc w:val="right"/>
      <w:pPr>
        <w:ind w:left="6449" w:hanging="180"/>
      </w:pPr>
    </w:lvl>
  </w:abstractNum>
  <w:abstractNum w:abstractNumId="22" w15:restartNumberingAfterBreak="0">
    <w:nsid w:val="2AC050D9"/>
    <w:multiLevelType w:val="hybridMultilevel"/>
    <w:tmpl w:val="E7067EFE"/>
    <w:lvl w:ilvl="0" w:tplc="23CCC556">
      <w:start w:val="1"/>
      <w:numFmt w:val="lowerLetter"/>
      <w:pStyle w:val="Nummerierunga"/>
      <w:lvlText w:val="%1)"/>
      <w:lvlJc w:val="left"/>
      <w:pPr>
        <w:tabs>
          <w:tab w:val="num" w:pos="357"/>
        </w:tabs>
        <w:ind w:left="357" w:hanging="35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2B384AE8"/>
    <w:multiLevelType w:val="hybridMultilevel"/>
    <w:tmpl w:val="D130D16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2E0F2443"/>
    <w:multiLevelType w:val="multilevel"/>
    <w:tmpl w:val="A24CEB62"/>
    <w:numStyleLink w:val="GliederungAufzhlung"/>
  </w:abstractNum>
  <w:abstractNum w:abstractNumId="25" w15:restartNumberingAfterBreak="0">
    <w:nsid w:val="30FC7C67"/>
    <w:multiLevelType w:val="multilevel"/>
    <w:tmpl w:val="8C9001C8"/>
    <w:lvl w:ilvl="0">
      <w:start w:val="1"/>
      <w:numFmt w:val="bullet"/>
      <w:pStyle w:val="AufzhlungEbene1"/>
      <w:lvlText w:val=""/>
      <w:lvlJc w:val="left"/>
      <w:pPr>
        <w:tabs>
          <w:tab w:val="num" w:pos="360"/>
        </w:tabs>
        <w:ind w:left="360" w:hanging="360"/>
      </w:pPr>
      <w:rPr>
        <w:rFonts w:ascii="Symbol" w:hAnsi="Symbol" w:hint="default"/>
        <w:color w:val="auto"/>
        <w:sz w:val="22"/>
        <w:szCs w:val="22"/>
      </w:rPr>
    </w:lvl>
    <w:lvl w:ilvl="1">
      <w:start w:val="1"/>
      <w:numFmt w:val="bullet"/>
      <w:pStyle w:val="AufzhlungEbene2"/>
      <w:lvlText w:val="−"/>
      <w:lvlJc w:val="left"/>
      <w:pPr>
        <w:tabs>
          <w:tab w:val="num" w:pos="720"/>
        </w:tabs>
        <w:ind w:left="720" w:hanging="360"/>
      </w:pPr>
      <w:rPr>
        <w:rFonts w:ascii="Arial" w:hAnsi="Arial" w:hint="default"/>
        <w:color w:val="auto"/>
        <w:sz w:val="22"/>
        <w:szCs w:val="22"/>
      </w:rPr>
    </w:lvl>
    <w:lvl w:ilvl="2">
      <w:start w:val="1"/>
      <w:numFmt w:val="bullet"/>
      <w:pStyle w:val="AufzhlungEbene3"/>
      <w:lvlText w:val=""/>
      <w:lvlJc w:val="left"/>
      <w:pPr>
        <w:tabs>
          <w:tab w:val="num" w:pos="1072"/>
        </w:tabs>
        <w:ind w:left="1072" w:hanging="358"/>
      </w:pPr>
      <w:rPr>
        <w:rFonts w:ascii="Symbol" w:hAnsi="Symbol" w:hint="default"/>
        <w:sz w:val="22"/>
        <w:szCs w:val="22"/>
      </w:rPr>
    </w:lvl>
    <w:lvl w:ilvl="3">
      <w:start w:val="1"/>
      <w:numFmt w:val="bullet"/>
      <w:lvlText w:val="−"/>
      <w:lvlJc w:val="left"/>
      <w:pPr>
        <w:tabs>
          <w:tab w:val="num" w:pos="1429"/>
        </w:tabs>
        <w:ind w:left="1429" w:hanging="357"/>
      </w:pPr>
      <w:rPr>
        <w:rFonts w:ascii="Arial" w:hAnsi="Arial" w:hint="default"/>
        <w:color w:val="auto"/>
        <w:sz w:val="20"/>
      </w:rPr>
    </w:lvl>
    <w:lvl w:ilvl="4">
      <w:start w:val="1"/>
      <w:numFmt w:val="bullet"/>
      <w:lvlText w:val=""/>
      <w:lvlJc w:val="left"/>
      <w:pPr>
        <w:tabs>
          <w:tab w:val="num" w:pos="1786"/>
        </w:tabs>
        <w:ind w:left="1786" w:hanging="357"/>
      </w:pPr>
      <w:rPr>
        <w:rFonts w:ascii="Symbol" w:hAnsi="Symbol" w:hint="default"/>
        <w:sz w:val="2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312F0BAD"/>
    <w:multiLevelType w:val="hybridMultilevel"/>
    <w:tmpl w:val="5A7E03F2"/>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7" w15:restartNumberingAfterBreak="0">
    <w:nsid w:val="337E2D2C"/>
    <w:multiLevelType w:val="hybridMultilevel"/>
    <w:tmpl w:val="A8788A42"/>
    <w:lvl w:ilvl="0" w:tplc="980A441C">
      <w:start w:val="1"/>
      <w:numFmt w:val="bullet"/>
      <w:pStyle w:val="Aufzhlungszeichen2"/>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pStyle w:val="berschrift9"/>
      <w:lvlText w:val=""/>
      <w:lvlJc w:val="left"/>
      <w:pPr>
        <w:ind w:left="6480" w:hanging="360"/>
      </w:pPr>
      <w:rPr>
        <w:rFonts w:ascii="Wingdings" w:hAnsi="Wingdings" w:hint="default"/>
      </w:rPr>
    </w:lvl>
  </w:abstractNum>
  <w:abstractNum w:abstractNumId="28" w15:restartNumberingAfterBreak="0">
    <w:nsid w:val="33C42E44"/>
    <w:multiLevelType w:val="hybridMultilevel"/>
    <w:tmpl w:val="C7E29FC6"/>
    <w:lvl w:ilvl="0" w:tplc="0407000F">
      <w:start w:val="1"/>
      <w:numFmt w:val="decimal"/>
      <w:lvlText w:val="%1."/>
      <w:lvlJc w:val="left"/>
      <w:pPr>
        <w:ind w:left="360" w:hanging="360"/>
      </w:pPr>
      <w:rPr>
        <w:rFonts w:hint="default"/>
      </w:rPr>
    </w:lvl>
    <w:lvl w:ilvl="1" w:tplc="03401F32">
      <w:start w:val="1"/>
      <w:numFmt w:val="lowerLetter"/>
      <w:lvlText w:val="%2)"/>
      <w:lvlJc w:val="left"/>
      <w:pPr>
        <w:ind w:left="1116" w:hanging="396"/>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349E5DFE"/>
    <w:multiLevelType w:val="hybridMultilevel"/>
    <w:tmpl w:val="55EEF00A"/>
    <w:lvl w:ilvl="0" w:tplc="4350B53E">
      <w:start w:val="1"/>
      <w:numFmt w:val="bullet"/>
      <w:lvlText w:val=""/>
      <w:lvlJc w:val="left"/>
      <w:pPr>
        <w:ind w:left="720" w:hanging="360"/>
      </w:pPr>
      <w:rPr>
        <w:rFonts w:ascii="Symbol" w:hAnsi="Symbol"/>
      </w:rPr>
    </w:lvl>
    <w:lvl w:ilvl="1" w:tplc="A5285E10">
      <w:start w:val="1"/>
      <w:numFmt w:val="bullet"/>
      <w:lvlText w:val=""/>
      <w:lvlJc w:val="left"/>
      <w:pPr>
        <w:ind w:left="720" w:hanging="360"/>
      </w:pPr>
      <w:rPr>
        <w:rFonts w:ascii="Symbol" w:hAnsi="Symbol"/>
      </w:rPr>
    </w:lvl>
    <w:lvl w:ilvl="2" w:tplc="24BA6530">
      <w:start w:val="1"/>
      <w:numFmt w:val="bullet"/>
      <w:lvlText w:val=""/>
      <w:lvlJc w:val="left"/>
      <w:pPr>
        <w:ind w:left="720" w:hanging="360"/>
      </w:pPr>
      <w:rPr>
        <w:rFonts w:ascii="Symbol" w:hAnsi="Symbol"/>
      </w:rPr>
    </w:lvl>
    <w:lvl w:ilvl="3" w:tplc="52DC2B50">
      <w:start w:val="1"/>
      <w:numFmt w:val="bullet"/>
      <w:lvlText w:val=""/>
      <w:lvlJc w:val="left"/>
      <w:pPr>
        <w:ind w:left="720" w:hanging="360"/>
      </w:pPr>
      <w:rPr>
        <w:rFonts w:ascii="Symbol" w:hAnsi="Symbol"/>
      </w:rPr>
    </w:lvl>
    <w:lvl w:ilvl="4" w:tplc="FABEE424">
      <w:start w:val="1"/>
      <w:numFmt w:val="bullet"/>
      <w:lvlText w:val=""/>
      <w:lvlJc w:val="left"/>
      <w:pPr>
        <w:ind w:left="720" w:hanging="360"/>
      </w:pPr>
      <w:rPr>
        <w:rFonts w:ascii="Symbol" w:hAnsi="Symbol"/>
      </w:rPr>
    </w:lvl>
    <w:lvl w:ilvl="5" w:tplc="B7583F0E">
      <w:start w:val="1"/>
      <w:numFmt w:val="bullet"/>
      <w:lvlText w:val=""/>
      <w:lvlJc w:val="left"/>
      <w:pPr>
        <w:ind w:left="720" w:hanging="360"/>
      </w:pPr>
      <w:rPr>
        <w:rFonts w:ascii="Symbol" w:hAnsi="Symbol"/>
      </w:rPr>
    </w:lvl>
    <w:lvl w:ilvl="6" w:tplc="5706E246">
      <w:start w:val="1"/>
      <w:numFmt w:val="bullet"/>
      <w:lvlText w:val=""/>
      <w:lvlJc w:val="left"/>
      <w:pPr>
        <w:ind w:left="720" w:hanging="360"/>
      </w:pPr>
      <w:rPr>
        <w:rFonts w:ascii="Symbol" w:hAnsi="Symbol"/>
      </w:rPr>
    </w:lvl>
    <w:lvl w:ilvl="7" w:tplc="50287FDE">
      <w:start w:val="1"/>
      <w:numFmt w:val="bullet"/>
      <w:lvlText w:val=""/>
      <w:lvlJc w:val="left"/>
      <w:pPr>
        <w:ind w:left="720" w:hanging="360"/>
      </w:pPr>
      <w:rPr>
        <w:rFonts w:ascii="Symbol" w:hAnsi="Symbol"/>
      </w:rPr>
    </w:lvl>
    <w:lvl w:ilvl="8" w:tplc="C526D744">
      <w:start w:val="1"/>
      <w:numFmt w:val="bullet"/>
      <w:lvlText w:val=""/>
      <w:lvlJc w:val="left"/>
      <w:pPr>
        <w:ind w:left="720" w:hanging="360"/>
      </w:pPr>
      <w:rPr>
        <w:rFonts w:ascii="Symbol" w:hAnsi="Symbol"/>
      </w:rPr>
    </w:lvl>
  </w:abstractNum>
  <w:abstractNum w:abstractNumId="30" w15:restartNumberingAfterBreak="0">
    <w:nsid w:val="35E71FFC"/>
    <w:multiLevelType w:val="hybridMultilevel"/>
    <w:tmpl w:val="8AF0AE3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36D37558"/>
    <w:multiLevelType w:val="hybridMultilevel"/>
    <w:tmpl w:val="276EF2E6"/>
    <w:lvl w:ilvl="0" w:tplc="10C22A5A">
      <w:start w:val="1"/>
      <w:numFmt w:val="decimal"/>
      <w:lvlText w:val="%1)"/>
      <w:lvlJc w:val="left"/>
      <w:pPr>
        <w:ind w:left="1020" w:hanging="360"/>
      </w:pPr>
    </w:lvl>
    <w:lvl w:ilvl="1" w:tplc="295C2136">
      <w:start w:val="1"/>
      <w:numFmt w:val="decimal"/>
      <w:lvlText w:val="%2)"/>
      <w:lvlJc w:val="left"/>
      <w:pPr>
        <w:ind w:left="1020" w:hanging="360"/>
      </w:pPr>
    </w:lvl>
    <w:lvl w:ilvl="2" w:tplc="6792DCD2">
      <w:start w:val="1"/>
      <w:numFmt w:val="decimal"/>
      <w:lvlText w:val="%3)"/>
      <w:lvlJc w:val="left"/>
      <w:pPr>
        <w:ind w:left="1020" w:hanging="360"/>
      </w:pPr>
    </w:lvl>
    <w:lvl w:ilvl="3" w:tplc="281ABA5A">
      <w:start w:val="1"/>
      <w:numFmt w:val="decimal"/>
      <w:lvlText w:val="%4)"/>
      <w:lvlJc w:val="left"/>
      <w:pPr>
        <w:ind w:left="1020" w:hanging="360"/>
      </w:pPr>
    </w:lvl>
    <w:lvl w:ilvl="4" w:tplc="AFEA2894">
      <w:start w:val="1"/>
      <w:numFmt w:val="decimal"/>
      <w:lvlText w:val="%5)"/>
      <w:lvlJc w:val="left"/>
      <w:pPr>
        <w:ind w:left="1020" w:hanging="360"/>
      </w:pPr>
    </w:lvl>
    <w:lvl w:ilvl="5" w:tplc="06C89EC2">
      <w:start w:val="1"/>
      <w:numFmt w:val="decimal"/>
      <w:lvlText w:val="%6)"/>
      <w:lvlJc w:val="left"/>
      <w:pPr>
        <w:ind w:left="1020" w:hanging="360"/>
      </w:pPr>
    </w:lvl>
    <w:lvl w:ilvl="6" w:tplc="1DC2F084">
      <w:start w:val="1"/>
      <w:numFmt w:val="decimal"/>
      <w:lvlText w:val="%7)"/>
      <w:lvlJc w:val="left"/>
      <w:pPr>
        <w:ind w:left="1020" w:hanging="360"/>
      </w:pPr>
    </w:lvl>
    <w:lvl w:ilvl="7" w:tplc="99A4D1D6">
      <w:start w:val="1"/>
      <w:numFmt w:val="decimal"/>
      <w:lvlText w:val="%8)"/>
      <w:lvlJc w:val="left"/>
      <w:pPr>
        <w:ind w:left="1020" w:hanging="360"/>
      </w:pPr>
    </w:lvl>
    <w:lvl w:ilvl="8" w:tplc="921CD95C">
      <w:start w:val="1"/>
      <w:numFmt w:val="decimal"/>
      <w:lvlText w:val="%9)"/>
      <w:lvlJc w:val="left"/>
      <w:pPr>
        <w:ind w:left="1020" w:hanging="360"/>
      </w:pPr>
    </w:lvl>
  </w:abstractNum>
  <w:abstractNum w:abstractNumId="32" w15:restartNumberingAfterBreak="0">
    <w:nsid w:val="37226525"/>
    <w:multiLevelType w:val="hybridMultilevel"/>
    <w:tmpl w:val="4650F7F0"/>
    <w:lvl w:ilvl="0" w:tplc="AFB2E206">
      <w:start w:val="1"/>
      <w:numFmt w:val="decimal"/>
      <w:pStyle w:val="Nummerierung10"/>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8990AE9"/>
    <w:multiLevelType w:val="multilevel"/>
    <w:tmpl w:val="5A528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9D26677"/>
    <w:multiLevelType w:val="multilevel"/>
    <w:tmpl w:val="A24CEB62"/>
    <w:styleLink w:val="GliederungAufzhlung"/>
    <w:lvl w:ilvl="0">
      <w:start w:val="1"/>
      <w:numFmt w:val="bullet"/>
      <w:pStyle w:val="GliederungmitAufzhlung"/>
      <w:lvlText w:val=""/>
      <w:lvlJc w:val="left"/>
      <w:pPr>
        <w:tabs>
          <w:tab w:val="num" w:pos="284"/>
        </w:tabs>
        <w:ind w:left="284" w:hanging="284"/>
      </w:pPr>
      <w:rPr>
        <w:rFonts w:ascii="Symbol" w:hAnsi="Symbol" w:hint="default"/>
        <w:sz w:val="22"/>
      </w:rPr>
    </w:lvl>
    <w:lvl w:ilvl="1">
      <w:start w:val="1"/>
      <w:numFmt w:val="bullet"/>
      <w:lvlText w:val=""/>
      <w:lvlJc w:val="left"/>
      <w:pPr>
        <w:tabs>
          <w:tab w:val="num" w:pos="567"/>
        </w:tabs>
        <w:ind w:left="567" w:hanging="283"/>
      </w:pPr>
      <w:rPr>
        <w:rFonts w:ascii="Wingdings" w:hAnsi="Wingdings" w:hint="default"/>
      </w:rPr>
    </w:lvl>
    <w:lvl w:ilvl="2">
      <w:start w:val="1"/>
      <w:numFmt w:val="bullet"/>
      <w:lvlText w:val=""/>
      <w:lvlJc w:val="left"/>
      <w:pPr>
        <w:tabs>
          <w:tab w:val="num" w:pos="851"/>
        </w:tabs>
        <w:ind w:left="851" w:hanging="284"/>
      </w:pPr>
      <w:rPr>
        <w:rFonts w:ascii="Symbol" w:hAnsi="Symbol" w:hint="default"/>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Wingdings" w:hAnsi="Wingdings" w:hint="default"/>
      </w:rPr>
    </w:lvl>
    <w:lvl w:ilvl="5">
      <w:start w:val="1"/>
      <w:numFmt w:val="bullet"/>
      <w:lvlText w:val=""/>
      <w:lvlJc w:val="left"/>
      <w:pPr>
        <w:tabs>
          <w:tab w:val="num" w:pos="1701"/>
        </w:tabs>
        <w:ind w:left="1701" w:hanging="283"/>
      </w:pPr>
      <w:rPr>
        <w:rFonts w:ascii="Symbol" w:hAnsi="Symbol"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B236CFA"/>
    <w:multiLevelType w:val="hybridMultilevel"/>
    <w:tmpl w:val="FBD0E0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CA3065D"/>
    <w:multiLevelType w:val="hybridMultilevel"/>
    <w:tmpl w:val="5150D7C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3F817403"/>
    <w:multiLevelType w:val="multilevel"/>
    <w:tmpl w:val="2A486FEE"/>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44594019"/>
    <w:multiLevelType w:val="hybridMultilevel"/>
    <w:tmpl w:val="FBD0E0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4A8110C"/>
    <w:multiLevelType w:val="hybridMultilevel"/>
    <w:tmpl w:val="295069E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0" w15:restartNumberingAfterBreak="0">
    <w:nsid w:val="47E4325B"/>
    <w:multiLevelType w:val="hybridMultilevel"/>
    <w:tmpl w:val="4CB895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4B8333B3"/>
    <w:multiLevelType w:val="hybridMultilevel"/>
    <w:tmpl w:val="FBD0E09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4CE65198"/>
    <w:multiLevelType w:val="hybridMultilevel"/>
    <w:tmpl w:val="9EE67892"/>
    <w:lvl w:ilvl="0" w:tplc="7C4C06EE">
      <w:start w:val="1"/>
      <w:numFmt w:val="upperRoman"/>
      <w:pStyle w:val="Nummerierung3"/>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4E765A1F"/>
    <w:multiLevelType w:val="hybridMultilevel"/>
    <w:tmpl w:val="46407B86"/>
    <w:lvl w:ilvl="0" w:tplc="20A84928">
      <w:start w:val="1"/>
      <w:numFmt w:val="decimal"/>
      <w:lvlText w:val="%1."/>
      <w:lvlJc w:val="left"/>
      <w:pPr>
        <w:ind w:left="1440" w:hanging="360"/>
      </w:pPr>
    </w:lvl>
    <w:lvl w:ilvl="1" w:tplc="E86AE420">
      <w:start w:val="1"/>
      <w:numFmt w:val="decimal"/>
      <w:lvlText w:val="%2."/>
      <w:lvlJc w:val="left"/>
      <w:pPr>
        <w:ind w:left="1440" w:hanging="360"/>
      </w:pPr>
    </w:lvl>
    <w:lvl w:ilvl="2" w:tplc="371A649A">
      <w:start w:val="1"/>
      <w:numFmt w:val="decimal"/>
      <w:lvlText w:val="%3."/>
      <w:lvlJc w:val="left"/>
      <w:pPr>
        <w:ind w:left="1440" w:hanging="360"/>
      </w:pPr>
    </w:lvl>
    <w:lvl w:ilvl="3" w:tplc="C85C06CA">
      <w:start w:val="1"/>
      <w:numFmt w:val="decimal"/>
      <w:lvlText w:val="%4."/>
      <w:lvlJc w:val="left"/>
      <w:pPr>
        <w:ind w:left="1440" w:hanging="360"/>
      </w:pPr>
    </w:lvl>
    <w:lvl w:ilvl="4" w:tplc="B178E9CE">
      <w:start w:val="1"/>
      <w:numFmt w:val="decimal"/>
      <w:lvlText w:val="%5."/>
      <w:lvlJc w:val="left"/>
      <w:pPr>
        <w:ind w:left="1440" w:hanging="360"/>
      </w:pPr>
    </w:lvl>
    <w:lvl w:ilvl="5" w:tplc="3588205E">
      <w:start w:val="1"/>
      <w:numFmt w:val="decimal"/>
      <w:lvlText w:val="%6."/>
      <w:lvlJc w:val="left"/>
      <w:pPr>
        <w:ind w:left="1440" w:hanging="360"/>
      </w:pPr>
    </w:lvl>
    <w:lvl w:ilvl="6" w:tplc="2F74C9A0">
      <w:start w:val="1"/>
      <w:numFmt w:val="decimal"/>
      <w:lvlText w:val="%7."/>
      <w:lvlJc w:val="left"/>
      <w:pPr>
        <w:ind w:left="1440" w:hanging="360"/>
      </w:pPr>
    </w:lvl>
    <w:lvl w:ilvl="7" w:tplc="AB904D86">
      <w:start w:val="1"/>
      <w:numFmt w:val="decimal"/>
      <w:lvlText w:val="%8."/>
      <w:lvlJc w:val="left"/>
      <w:pPr>
        <w:ind w:left="1440" w:hanging="360"/>
      </w:pPr>
    </w:lvl>
    <w:lvl w:ilvl="8" w:tplc="96FE2AF0">
      <w:start w:val="1"/>
      <w:numFmt w:val="decimal"/>
      <w:lvlText w:val="%9."/>
      <w:lvlJc w:val="left"/>
      <w:pPr>
        <w:ind w:left="1440" w:hanging="360"/>
      </w:pPr>
    </w:lvl>
  </w:abstractNum>
  <w:abstractNum w:abstractNumId="44" w15:restartNumberingAfterBreak="0">
    <w:nsid w:val="4EF30DF1"/>
    <w:multiLevelType w:val="hybridMultilevel"/>
    <w:tmpl w:val="95BE37A4"/>
    <w:lvl w:ilvl="0" w:tplc="7DE4FBEE">
      <w:start w:val="1"/>
      <w:numFmt w:val="upperRoman"/>
      <w:pStyle w:val="NummerierungI"/>
      <w:lvlText w:val="%1."/>
      <w:lvlJc w:val="left"/>
      <w:pPr>
        <w:tabs>
          <w:tab w:val="num" w:pos="357"/>
        </w:tabs>
        <w:ind w:left="357" w:hanging="357"/>
      </w:pPr>
      <w:rPr>
        <w:rFonts w:hint="default"/>
      </w:rPr>
    </w:lvl>
    <w:lvl w:ilvl="1" w:tplc="04070003">
      <w:start w:val="1"/>
      <w:numFmt w:val="lowerLetter"/>
      <w:lvlText w:val="%2."/>
      <w:lvlJc w:val="left"/>
      <w:pPr>
        <w:tabs>
          <w:tab w:val="num" w:pos="1440"/>
        </w:tabs>
        <w:ind w:left="1440" w:hanging="360"/>
      </w:pPr>
    </w:lvl>
    <w:lvl w:ilvl="2" w:tplc="04070005">
      <w:start w:val="1"/>
      <w:numFmt w:val="lowerRoman"/>
      <w:lvlText w:val="%3."/>
      <w:lvlJc w:val="right"/>
      <w:pPr>
        <w:tabs>
          <w:tab w:val="num" w:pos="2160"/>
        </w:tabs>
        <w:ind w:left="2160" w:hanging="180"/>
      </w:pPr>
    </w:lvl>
    <w:lvl w:ilvl="3" w:tplc="0407000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45" w15:restartNumberingAfterBreak="0">
    <w:nsid w:val="50DC5A85"/>
    <w:multiLevelType w:val="hybridMultilevel"/>
    <w:tmpl w:val="0E0E7D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53604C05"/>
    <w:multiLevelType w:val="hybridMultilevel"/>
    <w:tmpl w:val="FBD0E0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3B102BB"/>
    <w:multiLevelType w:val="hybridMultilevel"/>
    <w:tmpl w:val="FBD0E09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56663C3F"/>
    <w:multiLevelType w:val="hybridMultilevel"/>
    <w:tmpl w:val="7854CFC6"/>
    <w:lvl w:ilvl="0" w:tplc="C2F8164C">
      <w:start w:val="1"/>
      <w:numFmt w:val="bullet"/>
      <w:pStyle w:val="Aufzhlungszeichen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59294439"/>
    <w:multiLevelType w:val="multilevel"/>
    <w:tmpl w:val="24BC8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F162009"/>
    <w:multiLevelType w:val="hybridMultilevel"/>
    <w:tmpl w:val="56B6E020"/>
    <w:lvl w:ilvl="0" w:tplc="C6A8AC46">
      <w:start w:val="1"/>
      <w:numFmt w:val="bullet"/>
      <w:lvlText w:val=""/>
      <w:lvlJc w:val="left"/>
      <w:pPr>
        <w:ind w:left="720" w:hanging="360"/>
      </w:pPr>
      <w:rPr>
        <w:rFonts w:ascii="Symbol" w:hAnsi="Symbol"/>
      </w:rPr>
    </w:lvl>
    <w:lvl w:ilvl="1" w:tplc="76D40320">
      <w:start w:val="1"/>
      <w:numFmt w:val="bullet"/>
      <w:lvlText w:val=""/>
      <w:lvlJc w:val="left"/>
      <w:pPr>
        <w:ind w:left="720" w:hanging="360"/>
      </w:pPr>
      <w:rPr>
        <w:rFonts w:ascii="Symbol" w:hAnsi="Symbol"/>
      </w:rPr>
    </w:lvl>
    <w:lvl w:ilvl="2" w:tplc="5AAABE1E">
      <w:start w:val="1"/>
      <w:numFmt w:val="bullet"/>
      <w:lvlText w:val=""/>
      <w:lvlJc w:val="left"/>
      <w:pPr>
        <w:ind w:left="720" w:hanging="360"/>
      </w:pPr>
      <w:rPr>
        <w:rFonts w:ascii="Symbol" w:hAnsi="Symbol"/>
      </w:rPr>
    </w:lvl>
    <w:lvl w:ilvl="3" w:tplc="2EFE1112">
      <w:start w:val="1"/>
      <w:numFmt w:val="bullet"/>
      <w:lvlText w:val=""/>
      <w:lvlJc w:val="left"/>
      <w:pPr>
        <w:ind w:left="720" w:hanging="360"/>
      </w:pPr>
      <w:rPr>
        <w:rFonts w:ascii="Symbol" w:hAnsi="Symbol"/>
      </w:rPr>
    </w:lvl>
    <w:lvl w:ilvl="4" w:tplc="4DCE5F78">
      <w:start w:val="1"/>
      <w:numFmt w:val="bullet"/>
      <w:lvlText w:val=""/>
      <w:lvlJc w:val="left"/>
      <w:pPr>
        <w:ind w:left="720" w:hanging="360"/>
      </w:pPr>
      <w:rPr>
        <w:rFonts w:ascii="Symbol" w:hAnsi="Symbol"/>
      </w:rPr>
    </w:lvl>
    <w:lvl w:ilvl="5" w:tplc="E2989B20">
      <w:start w:val="1"/>
      <w:numFmt w:val="bullet"/>
      <w:lvlText w:val=""/>
      <w:lvlJc w:val="left"/>
      <w:pPr>
        <w:ind w:left="720" w:hanging="360"/>
      </w:pPr>
      <w:rPr>
        <w:rFonts w:ascii="Symbol" w:hAnsi="Symbol"/>
      </w:rPr>
    </w:lvl>
    <w:lvl w:ilvl="6" w:tplc="AAE4580E">
      <w:start w:val="1"/>
      <w:numFmt w:val="bullet"/>
      <w:lvlText w:val=""/>
      <w:lvlJc w:val="left"/>
      <w:pPr>
        <w:ind w:left="720" w:hanging="360"/>
      </w:pPr>
      <w:rPr>
        <w:rFonts w:ascii="Symbol" w:hAnsi="Symbol"/>
      </w:rPr>
    </w:lvl>
    <w:lvl w:ilvl="7" w:tplc="A3B0113A">
      <w:start w:val="1"/>
      <w:numFmt w:val="bullet"/>
      <w:lvlText w:val=""/>
      <w:lvlJc w:val="left"/>
      <w:pPr>
        <w:ind w:left="720" w:hanging="360"/>
      </w:pPr>
      <w:rPr>
        <w:rFonts w:ascii="Symbol" w:hAnsi="Symbol"/>
      </w:rPr>
    </w:lvl>
    <w:lvl w:ilvl="8" w:tplc="3DEE5AFA">
      <w:start w:val="1"/>
      <w:numFmt w:val="bullet"/>
      <w:lvlText w:val=""/>
      <w:lvlJc w:val="left"/>
      <w:pPr>
        <w:ind w:left="720" w:hanging="360"/>
      </w:pPr>
      <w:rPr>
        <w:rFonts w:ascii="Symbol" w:hAnsi="Symbol"/>
      </w:rPr>
    </w:lvl>
  </w:abstractNum>
  <w:abstractNum w:abstractNumId="51" w15:restartNumberingAfterBreak="0">
    <w:nsid w:val="647057A3"/>
    <w:multiLevelType w:val="hybridMultilevel"/>
    <w:tmpl w:val="13420D26"/>
    <w:lvl w:ilvl="0" w:tplc="B0A072BC">
      <w:start w:val="1"/>
      <w:numFmt w:val="decimal"/>
      <w:pStyle w:val="Nummerierung11"/>
      <w:lvlText w:val="%1."/>
      <w:lvlJc w:val="left"/>
      <w:pPr>
        <w:tabs>
          <w:tab w:val="num" w:pos="357"/>
        </w:tabs>
        <w:ind w:left="357" w:hanging="357"/>
      </w:pPr>
      <w:rPr>
        <w:rFonts w:hint="default"/>
      </w:rPr>
    </w:lvl>
    <w:lvl w:ilvl="1" w:tplc="04070003">
      <w:start w:val="1"/>
      <w:numFmt w:val="lowerLetter"/>
      <w:lvlText w:val="%2."/>
      <w:lvlJc w:val="left"/>
      <w:pPr>
        <w:tabs>
          <w:tab w:val="num" w:pos="1440"/>
        </w:tabs>
        <w:ind w:left="1440" w:hanging="360"/>
      </w:pPr>
    </w:lvl>
    <w:lvl w:ilvl="2" w:tplc="04070005">
      <w:start w:val="1"/>
      <w:numFmt w:val="lowerRoman"/>
      <w:lvlText w:val="%3."/>
      <w:lvlJc w:val="right"/>
      <w:pPr>
        <w:tabs>
          <w:tab w:val="num" w:pos="2160"/>
        </w:tabs>
        <w:ind w:left="2160" w:hanging="180"/>
      </w:pPr>
    </w:lvl>
    <w:lvl w:ilvl="3" w:tplc="0407000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52" w15:restartNumberingAfterBreak="0">
    <w:nsid w:val="649E5352"/>
    <w:multiLevelType w:val="hybridMultilevel"/>
    <w:tmpl w:val="3D32327E"/>
    <w:lvl w:ilvl="0" w:tplc="53C89F24">
      <w:start w:val="1"/>
      <w:numFmt w:val="bullet"/>
      <w:pStyle w:val="Aufzhlungszeichen3"/>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6719664F"/>
    <w:multiLevelType w:val="hybridMultilevel"/>
    <w:tmpl w:val="FBD0E0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7D11947"/>
    <w:multiLevelType w:val="hybridMultilevel"/>
    <w:tmpl w:val="47AC2944"/>
    <w:lvl w:ilvl="0" w:tplc="7AD4B9C0">
      <w:start w:val="1"/>
      <w:numFmt w:val="bullet"/>
      <w:pStyle w:val="AufzhlungSpiegelstrich"/>
      <w:lvlText w:val="­"/>
      <w:lvlJc w:val="left"/>
      <w:pPr>
        <w:ind w:left="360" w:hanging="360"/>
      </w:pPr>
      <w:rPr>
        <w:rFonts w:ascii="Courier New" w:hAnsi="Courier New" w:hint="default"/>
        <w:b w:val="0"/>
        <w:i w:val="0"/>
        <w:sz w:val="22"/>
        <w:szCs w:val="2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8347124"/>
    <w:multiLevelType w:val="hybridMultilevel"/>
    <w:tmpl w:val="66EAB264"/>
    <w:lvl w:ilvl="0" w:tplc="19B44C32">
      <w:start w:val="1"/>
      <w:numFmt w:val="bullet"/>
      <w:lvlText w:val=""/>
      <w:lvlJc w:val="left"/>
      <w:pPr>
        <w:ind w:left="720" w:hanging="360"/>
      </w:pPr>
      <w:rPr>
        <w:rFonts w:ascii="Symbol" w:hAnsi="Symbol"/>
      </w:rPr>
    </w:lvl>
    <w:lvl w:ilvl="1" w:tplc="69D47CAA">
      <w:start w:val="1"/>
      <w:numFmt w:val="bullet"/>
      <w:lvlText w:val=""/>
      <w:lvlJc w:val="left"/>
      <w:pPr>
        <w:ind w:left="720" w:hanging="360"/>
      </w:pPr>
      <w:rPr>
        <w:rFonts w:ascii="Symbol" w:hAnsi="Symbol"/>
      </w:rPr>
    </w:lvl>
    <w:lvl w:ilvl="2" w:tplc="F1803F84">
      <w:start w:val="1"/>
      <w:numFmt w:val="bullet"/>
      <w:lvlText w:val=""/>
      <w:lvlJc w:val="left"/>
      <w:pPr>
        <w:ind w:left="720" w:hanging="360"/>
      </w:pPr>
      <w:rPr>
        <w:rFonts w:ascii="Symbol" w:hAnsi="Symbol"/>
      </w:rPr>
    </w:lvl>
    <w:lvl w:ilvl="3" w:tplc="0B58A33E">
      <w:start w:val="1"/>
      <w:numFmt w:val="bullet"/>
      <w:lvlText w:val=""/>
      <w:lvlJc w:val="left"/>
      <w:pPr>
        <w:ind w:left="720" w:hanging="360"/>
      </w:pPr>
      <w:rPr>
        <w:rFonts w:ascii="Symbol" w:hAnsi="Symbol"/>
      </w:rPr>
    </w:lvl>
    <w:lvl w:ilvl="4" w:tplc="2326B9A0">
      <w:start w:val="1"/>
      <w:numFmt w:val="bullet"/>
      <w:lvlText w:val=""/>
      <w:lvlJc w:val="left"/>
      <w:pPr>
        <w:ind w:left="720" w:hanging="360"/>
      </w:pPr>
      <w:rPr>
        <w:rFonts w:ascii="Symbol" w:hAnsi="Symbol"/>
      </w:rPr>
    </w:lvl>
    <w:lvl w:ilvl="5" w:tplc="A95CDB84">
      <w:start w:val="1"/>
      <w:numFmt w:val="bullet"/>
      <w:lvlText w:val=""/>
      <w:lvlJc w:val="left"/>
      <w:pPr>
        <w:ind w:left="720" w:hanging="360"/>
      </w:pPr>
      <w:rPr>
        <w:rFonts w:ascii="Symbol" w:hAnsi="Symbol"/>
      </w:rPr>
    </w:lvl>
    <w:lvl w:ilvl="6" w:tplc="DC22A00A">
      <w:start w:val="1"/>
      <w:numFmt w:val="bullet"/>
      <w:lvlText w:val=""/>
      <w:lvlJc w:val="left"/>
      <w:pPr>
        <w:ind w:left="720" w:hanging="360"/>
      </w:pPr>
      <w:rPr>
        <w:rFonts w:ascii="Symbol" w:hAnsi="Symbol"/>
      </w:rPr>
    </w:lvl>
    <w:lvl w:ilvl="7" w:tplc="268AD316">
      <w:start w:val="1"/>
      <w:numFmt w:val="bullet"/>
      <w:lvlText w:val=""/>
      <w:lvlJc w:val="left"/>
      <w:pPr>
        <w:ind w:left="720" w:hanging="360"/>
      </w:pPr>
      <w:rPr>
        <w:rFonts w:ascii="Symbol" w:hAnsi="Symbol"/>
      </w:rPr>
    </w:lvl>
    <w:lvl w:ilvl="8" w:tplc="81A4DB46">
      <w:start w:val="1"/>
      <w:numFmt w:val="bullet"/>
      <w:lvlText w:val=""/>
      <w:lvlJc w:val="left"/>
      <w:pPr>
        <w:ind w:left="720" w:hanging="360"/>
      </w:pPr>
      <w:rPr>
        <w:rFonts w:ascii="Symbol" w:hAnsi="Symbol"/>
      </w:rPr>
    </w:lvl>
  </w:abstractNum>
  <w:abstractNum w:abstractNumId="56" w15:restartNumberingAfterBreak="0">
    <w:nsid w:val="6A9C2F36"/>
    <w:multiLevelType w:val="hybridMultilevel"/>
    <w:tmpl w:val="F3802A36"/>
    <w:lvl w:ilvl="0" w:tplc="FFFFFFFF">
      <w:start w:val="1"/>
      <w:numFmt w:val="lowerLetter"/>
      <w:lvlText w:val="%1)"/>
      <w:lvlJc w:val="left"/>
      <w:pPr>
        <w:ind w:left="720" w:hanging="360"/>
      </w:pPr>
    </w:lvl>
    <w:lvl w:ilvl="1" w:tplc="FFFFFFFF">
      <w:start w:val="1"/>
      <w:numFmt w:val="lowerLetter"/>
      <w:lvlText w:val="%2)"/>
      <w:lvlJc w:val="left"/>
      <w:pPr>
        <w:ind w:left="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1F05DB6"/>
    <w:multiLevelType w:val="multilevel"/>
    <w:tmpl w:val="98080658"/>
    <w:numStyleLink w:val="GliederungNummerierung"/>
  </w:abstractNum>
  <w:abstractNum w:abstractNumId="58" w15:restartNumberingAfterBreak="0">
    <w:nsid w:val="72242E3E"/>
    <w:multiLevelType w:val="multilevel"/>
    <w:tmpl w:val="C4FA5A8E"/>
    <w:lvl w:ilvl="0">
      <w:start w:val="1"/>
      <w:numFmt w:val="bullet"/>
      <w:lvlText w:val=""/>
      <w:lvlJc w:val="left"/>
      <w:pPr>
        <w:tabs>
          <w:tab w:val="num" w:pos="360"/>
        </w:tabs>
        <w:ind w:left="360" w:hanging="360"/>
      </w:pPr>
      <w:rPr>
        <w:rFonts w:ascii="Wingdings 2" w:hAnsi="Wingdings 2" w:hint="default"/>
        <w:color w:val="auto"/>
        <w:sz w:val="22"/>
        <w:szCs w:val="22"/>
      </w:rPr>
    </w:lvl>
    <w:lvl w:ilvl="1">
      <w:start w:val="1"/>
      <w:numFmt w:val="bullet"/>
      <w:lvlText w:val="−"/>
      <w:lvlJc w:val="left"/>
      <w:pPr>
        <w:tabs>
          <w:tab w:val="num" w:pos="720"/>
        </w:tabs>
        <w:ind w:left="720" w:hanging="360"/>
      </w:pPr>
      <w:rPr>
        <w:rFonts w:ascii="Arial" w:hAnsi="Arial" w:hint="default"/>
        <w:color w:val="auto"/>
        <w:sz w:val="24"/>
        <w:szCs w:val="24"/>
      </w:rPr>
    </w:lvl>
    <w:lvl w:ilvl="2">
      <w:start w:val="1"/>
      <w:numFmt w:val="bullet"/>
      <w:lvlText w:val=""/>
      <w:lvlJc w:val="left"/>
      <w:pPr>
        <w:tabs>
          <w:tab w:val="num" w:pos="1072"/>
        </w:tabs>
        <w:ind w:left="1072" w:hanging="358"/>
      </w:pPr>
      <w:rPr>
        <w:rFonts w:ascii="Symbol" w:hAnsi="Symbol" w:hint="default"/>
        <w:sz w:val="22"/>
        <w:szCs w:val="22"/>
      </w:rPr>
    </w:lvl>
    <w:lvl w:ilvl="3">
      <w:start w:val="1"/>
      <w:numFmt w:val="bullet"/>
      <w:pStyle w:val="AufzhlungEbene4"/>
      <w:lvlText w:val="−"/>
      <w:lvlJc w:val="left"/>
      <w:pPr>
        <w:tabs>
          <w:tab w:val="num" w:pos="1429"/>
        </w:tabs>
        <w:ind w:left="1429" w:hanging="357"/>
      </w:pPr>
      <w:rPr>
        <w:rFonts w:ascii="Arial" w:hAnsi="Arial" w:hint="default"/>
        <w:color w:val="auto"/>
        <w:sz w:val="20"/>
      </w:rPr>
    </w:lvl>
    <w:lvl w:ilvl="4">
      <w:start w:val="1"/>
      <w:numFmt w:val="bullet"/>
      <w:pStyle w:val="AufzhlungEbene5"/>
      <w:lvlText w:val=""/>
      <w:lvlJc w:val="left"/>
      <w:pPr>
        <w:tabs>
          <w:tab w:val="num" w:pos="1786"/>
        </w:tabs>
        <w:ind w:left="1786" w:hanging="357"/>
      </w:pPr>
      <w:rPr>
        <w:rFonts w:ascii="Symbol" w:hAnsi="Symbol" w:hint="default"/>
        <w:sz w:val="2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9" w15:restartNumberingAfterBreak="0">
    <w:nsid w:val="746D5400"/>
    <w:multiLevelType w:val="hybridMultilevel"/>
    <w:tmpl w:val="AF024D6E"/>
    <w:lvl w:ilvl="0" w:tplc="31ACDECC">
      <w:start w:val="1"/>
      <w:numFmt w:val="lowerLetter"/>
      <w:pStyle w:val="Nummerierung4"/>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753075B7"/>
    <w:multiLevelType w:val="hybridMultilevel"/>
    <w:tmpl w:val="F2E0FA5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1" w15:restartNumberingAfterBreak="0">
    <w:nsid w:val="78286232"/>
    <w:multiLevelType w:val="hybridMultilevel"/>
    <w:tmpl w:val="E1D41DCE"/>
    <w:lvl w:ilvl="0" w:tplc="AF864092">
      <w:start w:val="1"/>
      <w:numFmt w:val="decimal"/>
      <w:lvlText w:val="(%1)"/>
      <w:lvlJc w:val="left"/>
      <w:pPr>
        <w:ind w:left="1440" w:hanging="360"/>
      </w:pPr>
    </w:lvl>
    <w:lvl w:ilvl="1" w:tplc="8AEC1E56">
      <w:start w:val="1"/>
      <w:numFmt w:val="decimal"/>
      <w:lvlText w:val="(%2)"/>
      <w:lvlJc w:val="left"/>
      <w:pPr>
        <w:ind w:left="1440" w:hanging="360"/>
      </w:pPr>
    </w:lvl>
    <w:lvl w:ilvl="2" w:tplc="2E8874DC">
      <w:start w:val="1"/>
      <w:numFmt w:val="decimal"/>
      <w:lvlText w:val="(%3)"/>
      <w:lvlJc w:val="left"/>
      <w:pPr>
        <w:ind w:left="1440" w:hanging="360"/>
      </w:pPr>
    </w:lvl>
    <w:lvl w:ilvl="3" w:tplc="88F0EE96">
      <w:start w:val="1"/>
      <w:numFmt w:val="decimal"/>
      <w:lvlText w:val="(%4)"/>
      <w:lvlJc w:val="left"/>
      <w:pPr>
        <w:ind w:left="1440" w:hanging="360"/>
      </w:pPr>
    </w:lvl>
    <w:lvl w:ilvl="4" w:tplc="8CDAE854">
      <w:start w:val="1"/>
      <w:numFmt w:val="decimal"/>
      <w:lvlText w:val="(%5)"/>
      <w:lvlJc w:val="left"/>
      <w:pPr>
        <w:ind w:left="1440" w:hanging="360"/>
      </w:pPr>
    </w:lvl>
    <w:lvl w:ilvl="5" w:tplc="8EC6CB14">
      <w:start w:val="1"/>
      <w:numFmt w:val="decimal"/>
      <w:lvlText w:val="(%6)"/>
      <w:lvlJc w:val="left"/>
      <w:pPr>
        <w:ind w:left="1440" w:hanging="360"/>
      </w:pPr>
    </w:lvl>
    <w:lvl w:ilvl="6" w:tplc="775A2DF0">
      <w:start w:val="1"/>
      <w:numFmt w:val="decimal"/>
      <w:lvlText w:val="(%7)"/>
      <w:lvlJc w:val="left"/>
      <w:pPr>
        <w:ind w:left="1440" w:hanging="360"/>
      </w:pPr>
    </w:lvl>
    <w:lvl w:ilvl="7" w:tplc="9A0AF436">
      <w:start w:val="1"/>
      <w:numFmt w:val="decimal"/>
      <w:lvlText w:val="(%8)"/>
      <w:lvlJc w:val="left"/>
      <w:pPr>
        <w:ind w:left="1440" w:hanging="360"/>
      </w:pPr>
    </w:lvl>
    <w:lvl w:ilvl="8" w:tplc="610CA646">
      <w:start w:val="1"/>
      <w:numFmt w:val="decimal"/>
      <w:lvlText w:val="(%9)"/>
      <w:lvlJc w:val="left"/>
      <w:pPr>
        <w:ind w:left="1440" w:hanging="360"/>
      </w:pPr>
    </w:lvl>
  </w:abstractNum>
  <w:abstractNum w:abstractNumId="62" w15:restartNumberingAfterBreak="0">
    <w:nsid w:val="799B099B"/>
    <w:multiLevelType w:val="multilevel"/>
    <w:tmpl w:val="03DC53D8"/>
    <w:lvl w:ilvl="0">
      <w:start w:val="1"/>
      <w:numFmt w:val="decimal"/>
      <w:pStyle w:val="berschrift1"/>
      <w:lvlText w:val="%1"/>
      <w:lvlJc w:val="left"/>
      <w:pPr>
        <w:tabs>
          <w:tab w:val="num" w:pos="1134"/>
        </w:tabs>
        <w:ind w:left="1134" w:hanging="1134"/>
      </w:pPr>
      <w:rPr>
        <w:rFonts w:hint="default"/>
      </w:rPr>
    </w:lvl>
    <w:lvl w:ilvl="1">
      <w:start w:val="1"/>
      <w:numFmt w:val="decimal"/>
      <w:pStyle w:val="berschrift2"/>
      <w:lvlText w:val="%1.%2"/>
      <w:lvlJc w:val="left"/>
      <w:pPr>
        <w:tabs>
          <w:tab w:val="num" w:pos="1134"/>
        </w:tabs>
        <w:ind w:left="1134" w:hanging="1134"/>
      </w:pPr>
      <w:rPr>
        <w:rFonts w:hint="default"/>
      </w:rPr>
    </w:lvl>
    <w:lvl w:ilvl="2">
      <w:start w:val="1"/>
      <w:numFmt w:val="decimal"/>
      <w:pStyle w:val="berschrift3"/>
      <w:lvlText w:val="%1.%2.%3"/>
      <w:lvlJc w:val="left"/>
      <w:pPr>
        <w:tabs>
          <w:tab w:val="num" w:pos="1134"/>
        </w:tabs>
        <w:ind w:left="1134" w:hanging="1134"/>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134"/>
        </w:tabs>
        <w:ind w:left="1134" w:hanging="1134"/>
      </w:pPr>
      <w:rPr>
        <w:rFonts w:hint="default"/>
      </w:rPr>
    </w:lvl>
    <w:lvl w:ilvl="5">
      <w:start w:val="1"/>
      <w:numFmt w:val="decimal"/>
      <w:lvlText w:val="%1.%2.%3.%4.%5.%6."/>
      <w:lvlJc w:val="left"/>
      <w:pPr>
        <w:tabs>
          <w:tab w:val="num" w:pos="357"/>
        </w:tabs>
        <w:ind w:left="1134" w:hanging="1134"/>
      </w:pPr>
      <w:rPr>
        <w:rFonts w:hint="default"/>
      </w:rPr>
    </w:lvl>
    <w:lvl w:ilvl="6">
      <w:start w:val="1"/>
      <w:numFmt w:val="decimal"/>
      <w:lvlText w:val="%1.%2.%3.%4.%5.%6.%7."/>
      <w:lvlJc w:val="left"/>
      <w:pPr>
        <w:tabs>
          <w:tab w:val="num" w:pos="357"/>
        </w:tabs>
        <w:ind w:left="1134" w:hanging="1134"/>
      </w:pPr>
      <w:rPr>
        <w:rFonts w:hint="default"/>
      </w:rPr>
    </w:lvl>
    <w:lvl w:ilvl="7">
      <w:start w:val="1"/>
      <w:numFmt w:val="decimal"/>
      <w:lvlText w:val="%1.%2.%3.%4.%5.%6.%7.%8."/>
      <w:lvlJc w:val="left"/>
      <w:pPr>
        <w:tabs>
          <w:tab w:val="num" w:pos="357"/>
        </w:tabs>
        <w:ind w:left="1134" w:hanging="1134"/>
      </w:pPr>
      <w:rPr>
        <w:rFonts w:hint="default"/>
      </w:rPr>
    </w:lvl>
    <w:lvl w:ilvl="8">
      <w:start w:val="1"/>
      <w:numFmt w:val="decimal"/>
      <w:lvlText w:val="%1.%2.%3.%4.%5.%6.%7.%8.%9."/>
      <w:lvlJc w:val="left"/>
      <w:pPr>
        <w:tabs>
          <w:tab w:val="num" w:pos="357"/>
        </w:tabs>
        <w:ind w:left="1134" w:hanging="1134"/>
      </w:pPr>
      <w:rPr>
        <w:rFonts w:hint="default"/>
      </w:rPr>
    </w:lvl>
  </w:abstractNum>
  <w:num w:numId="1" w16cid:durableId="376052624">
    <w:abstractNumId w:val="8"/>
  </w:num>
  <w:num w:numId="2" w16cid:durableId="2054499706">
    <w:abstractNumId w:val="34"/>
  </w:num>
  <w:num w:numId="3" w16cid:durableId="202376378">
    <w:abstractNumId w:val="37"/>
  </w:num>
  <w:num w:numId="4" w16cid:durableId="2087218564">
    <w:abstractNumId w:val="48"/>
  </w:num>
  <w:num w:numId="5" w16cid:durableId="806779483">
    <w:abstractNumId w:val="27"/>
  </w:num>
  <w:num w:numId="6" w16cid:durableId="869343444">
    <w:abstractNumId w:val="52"/>
  </w:num>
  <w:num w:numId="7" w16cid:durableId="997420443">
    <w:abstractNumId w:val="17"/>
  </w:num>
  <w:num w:numId="8" w16cid:durableId="309091662">
    <w:abstractNumId w:val="13"/>
  </w:num>
  <w:num w:numId="9" w16cid:durableId="2013987598">
    <w:abstractNumId w:val="42"/>
  </w:num>
  <w:num w:numId="10" w16cid:durableId="1851333628">
    <w:abstractNumId w:val="59"/>
  </w:num>
  <w:num w:numId="11" w16cid:durableId="2110614520">
    <w:abstractNumId w:val="57"/>
  </w:num>
  <w:num w:numId="12" w16cid:durableId="1164323474">
    <w:abstractNumId w:val="24"/>
  </w:num>
  <w:num w:numId="13" w16cid:durableId="2031487303">
    <w:abstractNumId w:val="54"/>
  </w:num>
  <w:num w:numId="14" w16cid:durableId="894780167">
    <w:abstractNumId w:val="25"/>
  </w:num>
  <w:num w:numId="15" w16cid:durableId="1500927664">
    <w:abstractNumId w:val="58"/>
  </w:num>
  <w:num w:numId="16" w16cid:durableId="980766425">
    <w:abstractNumId w:val="32"/>
  </w:num>
  <w:num w:numId="17" w16cid:durableId="1007752365">
    <w:abstractNumId w:val="51"/>
  </w:num>
  <w:num w:numId="18" w16cid:durableId="1487281463">
    <w:abstractNumId w:val="22"/>
  </w:num>
  <w:num w:numId="19" w16cid:durableId="886188721">
    <w:abstractNumId w:val="44"/>
  </w:num>
  <w:num w:numId="20" w16cid:durableId="1719430401">
    <w:abstractNumId w:val="1"/>
  </w:num>
  <w:num w:numId="21" w16cid:durableId="1518496911">
    <w:abstractNumId w:val="20"/>
  </w:num>
  <w:num w:numId="22" w16cid:durableId="975528083">
    <w:abstractNumId w:val="62"/>
  </w:num>
  <w:num w:numId="23" w16cid:durableId="1195968003">
    <w:abstractNumId w:val="9"/>
  </w:num>
  <w:num w:numId="24" w16cid:durableId="1065369766">
    <w:abstractNumId w:val="47"/>
  </w:num>
  <w:num w:numId="25" w16cid:durableId="1380937878">
    <w:abstractNumId w:val="21"/>
  </w:num>
  <w:num w:numId="26" w16cid:durableId="835655601">
    <w:abstractNumId w:val="45"/>
  </w:num>
  <w:num w:numId="27" w16cid:durableId="114175767">
    <w:abstractNumId w:val="16"/>
  </w:num>
  <w:num w:numId="28" w16cid:durableId="782698817">
    <w:abstractNumId w:val="5"/>
  </w:num>
  <w:num w:numId="29" w16cid:durableId="651132789">
    <w:abstractNumId w:val="6"/>
  </w:num>
  <w:num w:numId="30" w16cid:durableId="1822119852">
    <w:abstractNumId w:val="30"/>
  </w:num>
  <w:num w:numId="31" w16cid:durableId="505243033">
    <w:abstractNumId w:val="15"/>
  </w:num>
  <w:num w:numId="32" w16cid:durableId="1026248669">
    <w:abstractNumId w:val="36"/>
  </w:num>
  <w:num w:numId="33" w16cid:durableId="1536118324">
    <w:abstractNumId w:val="0"/>
  </w:num>
  <w:num w:numId="34" w16cid:durableId="179978790">
    <w:abstractNumId w:val="60"/>
  </w:num>
  <w:num w:numId="35" w16cid:durableId="1711028435">
    <w:abstractNumId w:val="11"/>
  </w:num>
  <w:num w:numId="36" w16cid:durableId="679354664">
    <w:abstractNumId w:val="40"/>
  </w:num>
  <w:num w:numId="37" w16cid:durableId="1139493322">
    <w:abstractNumId w:val="4"/>
  </w:num>
  <w:num w:numId="38" w16cid:durableId="59253120">
    <w:abstractNumId w:val="23"/>
  </w:num>
  <w:num w:numId="39" w16cid:durableId="1605186519">
    <w:abstractNumId w:val="28"/>
  </w:num>
  <w:num w:numId="40" w16cid:durableId="1699696922">
    <w:abstractNumId w:val="39"/>
  </w:num>
  <w:num w:numId="41" w16cid:durableId="108817495">
    <w:abstractNumId w:val="3"/>
  </w:num>
  <w:num w:numId="42" w16cid:durableId="455296097">
    <w:abstractNumId w:val="46"/>
  </w:num>
  <w:num w:numId="43" w16cid:durableId="467168743">
    <w:abstractNumId w:val="14"/>
  </w:num>
  <w:num w:numId="44" w16cid:durableId="1557626873">
    <w:abstractNumId w:val="7"/>
  </w:num>
  <w:num w:numId="45" w16cid:durableId="723068314">
    <w:abstractNumId w:val="53"/>
  </w:num>
  <w:num w:numId="46" w16cid:durableId="1115949970">
    <w:abstractNumId w:val="38"/>
  </w:num>
  <w:num w:numId="47" w16cid:durableId="255216121">
    <w:abstractNumId w:val="35"/>
  </w:num>
  <w:num w:numId="48" w16cid:durableId="278875342">
    <w:abstractNumId w:val="41"/>
  </w:num>
  <w:num w:numId="49" w16cid:durableId="1065224936">
    <w:abstractNumId w:val="19"/>
    <w:lvlOverride w:ilvl="0">
      <w:startOverride w:val="1"/>
    </w:lvlOverride>
  </w:num>
  <w:num w:numId="50" w16cid:durableId="555704917">
    <w:abstractNumId w:val="12"/>
  </w:num>
  <w:num w:numId="51" w16cid:durableId="1656257300">
    <w:abstractNumId w:val="50"/>
  </w:num>
  <w:num w:numId="52" w16cid:durableId="1681392005">
    <w:abstractNumId w:val="29"/>
  </w:num>
  <w:num w:numId="53" w16cid:durableId="1200822317">
    <w:abstractNumId w:val="55"/>
  </w:num>
  <w:num w:numId="54" w16cid:durableId="270354791">
    <w:abstractNumId w:val="31"/>
  </w:num>
  <w:num w:numId="55" w16cid:durableId="1483429451">
    <w:abstractNumId w:val="43"/>
  </w:num>
  <w:num w:numId="56" w16cid:durableId="973146783">
    <w:abstractNumId w:val="61"/>
  </w:num>
  <w:num w:numId="57" w16cid:durableId="661927998">
    <w:abstractNumId w:val="2"/>
  </w:num>
  <w:num w:numId="58" w16cid:durableId="1885437335">
    <w:abstractNumId w:val="49"/>
  </w:num>
  <w:num w:numId="59" w16cid:durableId="506091950">
    <w:abstractNumId w:val="10"/>
  </w:num>
  <w:num w:numId="60" w16cid:durableId="1342317763">
    <w:abstractNumId w:val="33"/>
  </w:num>
  <w:num w:numId="61" w16cid:durableId="1731733660">
    <w:abstractNumId w:val="26"/>
  </w:num>
  <w:num w:numId="62" w16cid:durableId="2076657060">
    <w:abstractNumId w:val="18"/>
  </w:num>
  <w:num w:numId="63" w16cid:durableId="2014600176">
    <w:abstractNumId w:val="5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F4"/>
    <w:rsid w:val="00005CD3"/>
    <w:rsid w:val="000105AE"/>
    <w:rsid w:val="00023F71"/>
    <w:rsid w:val="00074FAE"/>
    <w:rsid w:val="00095460"/>
    <w:rsid w:val="000969F2"/>
    <w:rsid w:val="000A2221"/>
    <w:rsid w:val="000B0A32"/>
    <w:rsid w:val="000B4FA9"/>
    <w:rsid w:val="000B760F"/>
    <w:rsid w:val="00106382"/>
    <w:rsid w:val="00111E32"/>
    <w:rsid w:val="001558C8"/>
    <w:rsid w:val="001969A3"/>
    <w:rsid w:val="00197F42"/>
    <w:rsid w:val="001E29BE"/>
    <w:rsid w:val="002053CC"/>
    <w:rsid w:val="002301E7"/>
    <w:rsid w:val="0023384D"/>
    <w:rsid w:val="002401BB"/>
    <w:rsid w:val="00241A96"/>
    <w:rsid w:val="00252AB9"/>
    <w:rsid w:val="002701D0"/>
    <w:rsid w:val="002935BD"/>
    <w:rsid w:val="002A5531"/>
    <w:rsid w:val="002E5B7A"/>
    <w:rsid w:val="003126B1"/>
    <w:rsid w:val="00330B13"/>
    <w:rsid w:val="00333A41"/>
    <w:rsid w:val="00335539"/>
    <w:rsid w:val="00337FAD"/>
    <w:rsid w:val="00367BA5"/>
    <w:rsid w:val="00396F5D"/>
    <w:rsid w:val="00397D7B"/>
    <w:rsid w:val="003C2272"/>
    <w:rsid w:val="003E5B57"/>
    <w:rsid w:val="003F15B2"/>
    <w:rsid w:val="00425651"/>
    <w:rsid w:val="00430C07"/>
    <w:rsid w:val="004C42CB"/>
    <w:rsid w:val="005054DE"/>
    <w:rsid w:val="005109AF"/>
    <w:rsid w:val="00531D0A"/>
    <w:rsid w:val="00532BF0"/>
    <w:rsid w:val="00536EA7"/>
    <w:rsid w:val="00573DE4"/>
    <w:rsid w:val="005842CC"/>
    <w:rsid w:val="005B045E"/>
    <w:rsid w:val="005B4A58"/>
    <w:rsid w:val="005C1A68"/>
    <w:rsid w:val="005C759D"/>
    <w:rsid w:val="006030D4"/>
    <w:rsid w:val="00613611"/>
    <w:rsid w:val="00621B8B"/>
    <w:rsid w:val="00624188"/>
    <w:rsid w:val="00681E3E"/>
    <w:rsid w:val="006B69A9"/>
    <w:rsid w:val="007000B5"/>
    <w:rsid w:val="00702BD9"/>
    <w:rsid w:val="00705C2A"/>
    <w:rsid w:val="00711F44"/>
    <w:rsid w:val="00720296"/>
    <w:rsid w:val="0072280F"/>
    <w:rsid w:val="00734DA3"/>
    <w:rsid w:val="00746062"/>
    <w:rsid w:val="0075694C"/>
    <w:rsid w:val="007817D5"/>
    <w:rsid w:val="00790A99"/>
    <w:rsid w:val="007B26EE"/>
    <w:rsid w:val="007C0E8B"/>
    <w:rsid w:val="007E198C"/>
    <w:rsid w:val="00807359"/>
    <w:rsid w:val="00854305"/>
    <w:rsid w:val="0086558B"/>
    <w:rsid w:val="008A547B"/>
    <w:rsid w:val="008B4363"/>
    <w:rsid w:val="008B43D8"/>
    <w:rsid w:val="008B7309"/>
    <w:rsid w:val="008F3D60"/>
    <w:rsid w:val="00933A2A"/>
    <w:rsid w:val="00946F1F"/>
    <w:rsid w:val="00971894"/>
    <w:rsid w:val="009B29D3"/>
    <w:rsid w:val="009C3428"/>
    <w:rsid w:val="009D1CF7"/>
    <w:rsid w:val="009D2BB2"/>
    <w:rsid w:val="00A36C9F"/>
    <w:rsid w:val="00A71A65"/>
    <w:rsid w:val="00A7618F"/>
    <w:rsid w:val="00A87518"/>
    <w:rsid w:val="00AB0861"/>
    <w:rsid w:val="00AD602D"/>
    <w:rsid w:val="00AE0072"/>
    <w:rsid w:val="00AE0962"/>
    <w:rsid w:val="00AE0BC3"/>
    <w:rsid w:val="00AE7BCD"/>
    <w:rsid w:val="00AF2973"/>
    <w:rsid w:val="00B50569"/>
    <w:rsid w:val="00B762B8"/>
    <w:rsid w:val="00B77797"/>
    <w:rsid w:val="00B86DF6"/>
    <w:rsid w:val="00B93D2B"/>
    <w:rsid w:val="00BA7331"/>
    <w:rsid w:val="00C15C85"/>
    <w:rsid w:val="00C4725A"/>
    <w:rsid w:val="00C65B93"/>
    <w:rsid w:val="00C903C9"/>
    <w:rsid w:val="00CD1382"/>
    <w:rsid w:val="00D04D09"/>
    <w:rsid w:val="00D253F1"/>
    <w:rsid w:val="00D32D3C"/>
    <w:rsid w:val="00D573C7"/>
    <w:rsid w:val="00D65A9D"/>
    <w:rsid w:val="00D73520"/>
    <w:rsid w:val="00D77F9C"/>
    <w:rsid w:val="00DA75F4"/>
    <w:rsid w:val="00E36EF0"/>
    <w:rsid w:val="00E6798C"/>
    <w:rsid w:val="00E71899"/>
    <w:rsid w:val="00E74C34"/>
    <w:rsid w:val="00E836BB"/>
    <w:rsid w:val="00E843CF"/>
    <w:rsid w:val="00EA3560"/>
    <w:rsid w:val="00EC03F5"/>
    <w:rsid w:val="00EC16BA"/>
    <w:rsid w:val="00EC5907"/>
    <w:rsid w:val="00ED1643"/>
    <w:rsid w:val="00ED3B21"/>
    <w:rsid w:val="00EE5EF4"/>
    <w:rsid w:val="00EF5022"/>
    <w:rsid w:val="00EF7FEA"/>
    <w:rsid w:val="00F02B88"/>
    <w:rsid w:val="00F34C95"/>
    <w:rsid w:val="00F3773D"/>
    <w:rsid w:val="00F446CA"/>
    <w:rsid w:val="00F55257"/>
    <w:rsid w:val="00F92B01"/>
    <w:rsid w:val="00FC07EB"/>
    <w:rsid w:val="00FC48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2FFE1"/>
  <w15:chartTrackingRefBased/>
  <w15:docId w15:val="{A728C46F-A657-4F19-B0E4-9130A456B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2" w:qFormat="1"/>
    <w:lsdException w:name="heading 4" w:uiPriority="2" w:qFormat="1"/>
    <w:lsdException w:name="heading 5" w:uiPriority="2"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E5EF4"/>
    <w:pPr>
      <w:spacing w:after="200" w:line="312" w:lineRule="auto"/>
    </w:pPr>
    <w:rPr>
      <w:rFonts w:ascii="Arial" w:hAnsi="Arial" w:cs="Times New Roman"/>
      <w:szCs w:val="20"/>
      <w:lang w:eastAsia="de-DE"/>
    </w:rPr>
  </w:style>
  <w:style w:type="paragraph" w:styleId="berschrift1">
    <w:name w:val="heading 1"/>
    <w:basedOn w:val="Standard"/>
    <w:next w:val="Standard"/>
    <w:link w:val="berschrift1Zchn"/>
    <w:autoRedefine/>
    <w:uiPriority w:val="9"/>
    <w:qFormat/>
    <w:rsid w:val="00074FAE"/>
    <w:pPr>
      <w:keepNext/>
      <w:keepLines/>
      <w:numPr>
        <w:numId w:val="22"/>
      </w:numPr>
      <w:spacing w:before="240" w:after="320" w:line="240" w:lineRule="auto"/>
      <w:outlineLvl w:val="0"/>
    </w:pPr>
    <w:rPr>
      <w:rFonts w:asciiTheme="majorHAnsi" w:eastAsiaTheme="minorHAnsi" w:hAnsiTheme="majorHAnsi" w:cstheme="minorBidi"/>
      <w:b/>
      <w:color w:val="0062A1"/>
      <w:sz w:val="36"/>
    </w:rPr>
  </w:style>
  <w:style w:type="paragraph" w:styleId="berschrift2">
    <w:name w:val="heading 2"/>
    <w:basedOn w:val="Standard"/>
    <w:next w:val="Standard"/>
    <w:link w:val="berschrift2Zchn"/>
    <w:autoRedefine/>
    <w:uiPriority w:val="9"/>
    <w:qFormat/>
    <w:rsid w:val="00074FAE"/>
    <w:pPr>
      <w:keepNext/>
      <w:numPr>
        <w:ilvl w:val="1"/>
        <w:numId w:val="22"/>
      </w:numPr>
      <w:spacing w:after="240" w:line="240" w:lineRule="auto"/>
      <w:outlineLvl w:val="1"/>
    </w:pPr>
    <w:rPr>
      <w:rFonts w:asciiTheme="majorHAnsi" w:eastAsiaTheme="minorHAnsi" w:hAnsiTheme="majorHAnsi" w:cstheme="minorBidi"/>
      <w:b/>
      <w:sz w:val="32"/>
    </w:rPr>
  </w:style>
  <w:style w:type="paragraph" w:styleId="berschrift3">
    <w:name w:val="heading 3"/>
    <w:basedOn w:val="Standard"/>
    <w:next w:val="Standard"/>
    <w:link w:val="berschrift3Zchn"/>
    <w:autoRedefine/>
    <w:uiPriority w:val="2"/>
    <w:qFormat/>
    <w:rsid w:val="00074FAE"/>
    <w:pPr>
      <w:keepNext/>
      <w:numPr>
        <w:ilvl w:val="2"/>
        <w:numId w:val="22"/>
      </w:numPr>
      <w:spacing w:after="240" w:line="240" w:lineRule="auto"/>
      <w:outlineLvl w:val="2"/>
    </w:pPr>
    <w:rPr>
      <w:rFonts w:asciiTheme="majorHAnsi" w:eastAsiaTheme="minorHAnsi" w:hAnsiTheme="majorHAnsi" w:cstheme="minorBidi"/>
      <w:sz w:val="32"/>
    </w:rPr>
  </w:style>
  <w:style w:type="paragraph" w:styleId="berschrift4">
    <w:name w:val="heading 4"/>
    <w:basedOn w:val="Standard"/>
    <w:next w:val="Standard"/>
    <w:link w:val="berschrift4Zchn"/>
    <w:autoRedefine/>
    <w:uiPriority w:val="2"/>
    <w:rsid w:val="00074FAE"/>
    <w:pPr>
      <w:keepNext/>
      <w:numPr>
        <w:ilvl w:val="3"/>
        <w:numId w:val="22"/>
      </w:numPr>
      <w:spacing w:after="240" w:line="240" w:lineRule="auto"/>
      <w:outlineLvl w:val="3"/>
    </w:pPr>
    <w:rPr>
      <w:rFonts w:asciiTheme="majorHAnsi" w:eastAsiaTheme="minorHAnsi" w:hAnsiTheme="majorHAnsi" w:cstheme="minorBidi"/>
      <w:b/>
    </w:rPr>
  </w:style>
  <w:style w:type="paragraph" w:styleId="berschrift5">
    <w:name w:val="heading 5"/>
    <w:basedOn w:val="Standard"/>
    <w:next w:val="Standard"/>
    <w:link w:val="berschrift5Zchn"/>
    <w:autoRedefine/>
    <w:uiPriority w:val="2"/>
    <w:rsid w:val="00074FAE"/>
    <w:pPr>
      <w:keepNext/>
      <w:numPr>
        <w:ilvl w:val="4"/>
        <w:numId w:val="22"/>
      </w:numPr>
      <w:spacing w:after="240" w:line="240" w:lineRule="auto"/>
      <w:outlineLvl w:val="4"/>
    </w:pPr>
    <w:rPr>
      <w:rFonts w:eastAsiaTheme="minorHAnsi" w:cstheme="minorBidi"/>
      <w:b/>
    </w:rPr>
  </w:style>
  <w:style w:type="paragraph" w:styleId="berschrift6">
    <w:name w:val="heading 6"/>
    <w:basedOn w:val="Standard"/>
    <w:next w:val="Standard"/>
    <w:link w:val="berschrift6Zchn"/>
    <w:uiPriority w:val="9"/>
    <w:semiHidden/>
    <w:qFormat/>
    <w:rsid w:val="00D253F1"/>
    <w:pPr>
      <w:keepNext/>
      <w:keepLines/>
      <w:numPr>
        <w:ilvl w:val="5"/>
        <w:numId w:val="3"/>
      </w:numPr>
      <w:spacing w:before="40"/>
      <w:outlineLvl w:val="5"/>
    </w:pPr>
    <w:rPr>
      <w:rFonts w:asciiTheme="majorHAnsi" w:eastAsiaTheme="majorEastAsia" w:hAnsiTheme="majorHAnsi" w:cstheme="majorBidi"/>
      <w:color w:val="003050" w:themeColor="accent1" w:themeShade="7F"/>
    </w:rPr>
  </w:style>
  <w:style w:type="paragraph" w:styleId="berschrift7">
    <w:name w:val="heading 7"/>
    <w:basedOn w:val="Standard"/>
    <w:next w:val="Standard"/>
    <w:link w:val="berschrift7Zchn"/>
    <w:uiPriority w:val="9"/>
    <w:semiHidden/>
    <w:unhideWhenUsed/>
    <w:qFormat/>
    <w:rsid w:val="00D253F1"/>
    <w:pPr>
      <w:keepNext/>
      <w:keepLines/>
      <w:numPr>
        <w:ilvl w:val="6"/>
        <w:numId w:val="3"/>
      </w:numPr>
      <w:spacing w:before="40"/>
      <w:outlineLvl w:val="6"/>
    </w:pPr>
    <w:rPr>
      <w:rFonts w:asciiTheme="majorHAnsi" w:eastAsiaTheme="majorEastAsia" w:hAnsiTheme="majorHAnsi" w:cstheme="majorBidi"/>
      <w:i/>
      <w:iCs/>
      <w:color w:val="003050" w:themeColor="accent1" w:themeShade="7F"/>
    </w:rPr>
  </w:style>
  <w:style w:type="paragraph" w:styleId="berschrift8">
    <w:name w:val="heading 8"/>
    <w:basedOn w:val="Standard"/>
    <w:next w:val="Standard"/>
    <w:link w:val="berschrift8Zchn"/>
    <w:uiPriority w:val="9"/>
    <w:semiHidden/>
    <w:unhideWhenUsed/>
    <w:qFormat/>
    <w:rsid w:val="00D253F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D253F1"/>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szeichen1">
    <w:name w:val="Aufzählungszeichen1"/>
    <w:basedOn w:val="Standard"/>
    <w:semiHidden/>
    <w:qFormat/>
    <w:rsid w:val="00D253F1"/>
    <w:pPr>
      <w:numPr>
        <w:numId w:val="4"/>
      </w:numPr>
      <w:spacing w:after="120"/>
    </w:pPr>
  </w:style>
  <w:style w:type="paragraph" w:customStyle="1" w:styleId="Aufzhlungszeichen2">
    <w:name w:val="Aufzählungszeichen2"/>
    <w:basedOn w:val="Standard"/>
    <w:semiHidden/>
    <w:qFormat/>
    <w:rsid w:val="00D253F1"/>
    <w:pPr>
      <w:numPr>
        <w:numId w:val="5"/>
      </w:numPr>
      <w:spacing w:after="120"/>
    </w:pPr>
  </w:style>
  <w:style w:type="paragraph" w:customStyle="1" w:styleId="Aufzhlungszeichen3">
    <w:name w:val="Aufzählungszeichen3"/>
    <w:basedOn w:val="Standard"/>
    <w:semiHidden/>
    <w:qFormat/>
    <w:rsid w:val="00D253F1"/>
    <w:pPr>
      <w:numPr>
        <w:numId w:val="6"/>
      </w:numPr>
      <w:spacing w:after="120"/>
    </w:pPr>
  </w:style>
  <w:style w:type="paragraph" w:customStyle="1" w:styleId="HngEinrckung1">
    <w:name w:val="Häng.Einrückung1"/>
    <w:basedOn w:val="Standard"/>
    <w:semiHidden/>
    <w:rsid w:val="00D253F1"/>
    <w:pPr>
      <w:ind w:left="567" w:hanging="567"/>
    </w:pPr>
  </w:style>
  <w:style w:type="paragraph" w:customStyle="1" w:styleId="HngEinrckung2">
    <w:name w:val="Häng.Einrückung2"/>
    <w:basedOn w:val="HngEinrckung1"/>
    <w:semiHidden/>
    <w:rsid w:val="00D253F1"/>
    <w:pPr>
      <w:ind w:left="1134"/>
    </w:pPr>
  </w:style>
  <w:style w:type="paragraph" w:customStyle="1" w:styleId="HngEinrckung3">
    <w:name w:val="Häng.Einrückung3"/>
    <w:basedOn w:val="HngEinrckung2"/>
    <w:semiHidden/>
    <w:rsid w:val="00D253F1"/>
    <w:pPr>
      <w:ind w:left="1701"/>
    </w:pPr>
  </w:style>
  <w:style w:type="paragraph" w:customStyle="1" w:styleId="Nummerierung1">
    <w:name w:val="Nummerierung1"/>
    <w:basedOn w:val="Standard"/>
    <w:semiHidden/>
    <w:qFormat/>
    <w:rsid w:val="00D253F1"/>
    <w:pPr>
      <w:numPr>
        <w:numId w:val="7"/>
      </w:numPr>
      <w:spacing w:after="120"/>
    </w:pPr>
  </w:style>
  <w:style w:type="paragraph" w:customStyle="1" w:styleId="Nummerierung2">
    <w:name w:val="Nummerierung2"/>
    <w:basedOn w:val="Standard"/>
    <w:semiHidden/>
    <w:qFormat/>
    <w:rsid w:val="00D253F1"/>
    <w:pPr>
      <w:numPr>
        <w:numId w:val="8"/>
      </w:numPr>
      <w:spacing w:after="120"/>
    </w:pPr>
  </w:style>
  <w:style w:type="paragraph" w:customStyle="1" w:styleId="Nummerierung3">
    <w:name w:val="Nummerierung3"/>
    <w:basedOn w:val="Standard"/>
    <w:semiHidden/>
    <w:qFormat/>
    <w:rsid w:val="00D253F1"/>
    <w:pPr>
      <w:numPr>
        <w:numId w:val="9"/>
      </w:numPr>
      <w:spacing w:after="120"/>
    </w:pPr>
  </w:style>
  <w:style w:type="paragraph" w:customStyle="1" w:styleId="Nummerierung4">
    <w:name w:val="Nummerierung4"/>
    <w:basedOn w:val="Standard"/>
    <w:semiHidden/>
    <w:qFormat/>
    <w:rsid w:val="00D253F1"/>
    <w:pPr>
      <w:numPr>
        <w:numId w:val="10"/>
      </w:numPr>
      <w:spacing w:after="120"/>
    </w:pPr>
  </w:style>
  <w:style w:type="paragraph" w:styleId="Endnotentext">
    <w:name w:val="endnote text"/>
    <w:basedOn w:val="Standard"/>
    <w:link w:val="EndnotentextZchn"/>
    <w:rsid w:val="00D253F1"/>
    <w:pPr>
      <w:tabs>
        <w:tab w:val="left" w:pos="142"/>
      </w:tabs>
      <w:spacing w:before="20" w:after="0" w:line="180" w:lineRule="exact"/>
      <w:ind w:left="142" w:hanging="142"/>
    </w:pPr>
    <w:rPr>
      <w:rFonts w:eastAsiaTheme="minorHAnsi" w:cstheme="minorBidi"/>
      <w:sz w:val="16"/>
    </w:rPr>
  </w:style>
  <w:style w:type="character" w:customStyle="1" w:styleId="EndnotentextZchn">
    <w:name w:val="Endnotentext Zchn"/>
    <w:basedOn w:val="Absatz-Standardschriftart"/>
    <w:link w:val="Endnotentext"/>
    <w:rsid w:val="00D253F1"/>
    <w:rPr>
      <w:rFonts w:ascii="Arial" w:hAnsi="Arial"/>
      <w:sz w:val="16"/>
      <w:szCs w:val="20"/>
      <w:lang w:eastAsia="de-DE"/>
    </w:rPr>
  </w:style>
  <w:style w:type="paragraph" w:styleId="Funotentext">
    <w:name w:val="footnote text"/>
    <w:basedOn w:val="Standard"/>
    <w:link w:val="FunotentextZchn"/>
    <w:rsid w:val="00D253F1"/>
    <w:pPr>
      <w:tabs>
        <w:tab w:val="left" w:pos="142"/>
      </w:tabs>
      <w:spacing w:before="20" w:after="0" w:line="180" w:lineRule="exact"/>
      <w:ind w:left="142" w:hanging="142"/>
    </w:pPr>
    <w:rPr>
      <w:rFonts w:eastAsiaTheme="minorHAnsi" w:cstheme="minorBidi"/>
      <w:sz w:val="16"/>
      <w:szCs w:val="16"/>
    </w:rPr>
  </w:style>
  <w:style w:type="character" w:customStyle="1" w:styleId="FunotentextZchn">
    <w:name w:val="Fußnotentext Zchn"/>
    <w:basedOn w:val="Absatz-Standardschriftart"/>
    <w:link w:val="Funotentext"/>
    <w:rsid w:val="00D253F1"/>
    <w:rPr>
      <w:rFonts w:ascii="Arial" w:hAnsi="Arial"/>
      <w:sz w:val="16"/>
      <w:szCs w:val="16"/>
      <w:lang w:eastAsia="de-DE"/>
    </w:rPr>
  </w:style>
  <w:style w:type="character" w:styleId="Endnotenzeichen">
    <w:name w:val="endnote reference"/>
    <w:basedOn w:val="Absatz-Standardschriftart"/>
    <w:rsid w:val="00C903C9"/>
    <w:rPr>
      <w:rFonts w:ascii="Arial" w:hAnsi="Arial"/>
      <w:color w:val="auto"/>
      <w:position w:val="4"/>
      <w:sz w:val="16"/>
      <w:vertAlign w:val="baseline"/>
    </w:rPr>
  </w:style>
  <w:style w:type="character" w:styleId="Funotenzeichen">
    <w:name w:val="footnote reference"/>
    <w:basedOn w:val="Absatz-Standardschriftart"/>
    <w:rsid w:val="00C903C9"/>
    <w:rPr>
      <w:rFonts w:ascii="Arial" w:hAnsi="Arial"/>
      <w:dstrike w:val="0"/>
      <w:kern w:val="0"/>
      <w:position w:val="4"/>
      <w:sz w:val="16"/>
      <w:szCs w:val="12"/>
      <w:vertAlign w:val="baseline"/>
    </w:rPr>
  </w:style>
  <w:style w:type="paragraph" w:styleId="Fuzeile">
    <w:name w:val="footer"/>
    <w:basedOn w:val="Standard"/>
    <w:link w:val="FuzeileZchn"/>
    <w:rsid w:val="00D253F1"/>
    <w:pPr>
      <w:tabs>
        <w:tab w:val="center" w:pos="4536"/>
        <w:tab w:val="right" w:pos="9072"/>
      </w:tabs>
      <w:spacing w:after="0" w:line="240" w:lineRule="exact"/>
    </w:pPr>
    <w:rPr>
      <w:rFonts w:eastAsiaTheme="minorHAnsi" w:cstheme="minorBidi"/>
      <w:sz w:val="18"/>
      <w:szCs w:val="14"/>
    </w:rPr>
  </w:style>
  <w:style w:type="character" w:customStyle="1" w:styleId="FuzeileZchn">
    <w:name w:val="Fußzeile Zchn"/>
    <w:basedOn w:val="Absatz-Standardschriftart"/>
    <w:link w:val="Fuzeile"/>
    <w:rsid w:val="00D253F1"/>
    <w:rPr>
      <w:rFonts w:ascii="Arial" w:hAnsi="Arial"/>
      <w:sz w:val="18"/>
      <w:szCs w:val="14"/>
      <w:lang w:eastAsia="de-DE"/>
    </w:rPr>
  </w:style>
  <w:style w:type="character" w:styleId="Hyperlink">
    <w:name w:val="Hyperlink"/>
    <w:basedOn w:val="Absatz-Standardschriftart"/>
    <w:uiPriority w:val="99"/>
    <w:rsid w:val="00D253F1"/>
    <w:rPr>
      <w:color w:val="0062A1"/>
      <w:u w:val="single"/>
    </w:rPr>
  </w:style>
  <w:style w:type="paragraph" w:customStyle="1" w:styleId="Marginalspalte">
    <w:name w:val="Marginalspalte"/>
    <w:basedOn w:val="Standard"/>
    <w:next w:val="Standard"/>
    <w:semiHidden/>
    <w:rsid w:val="00D253F1"/>
    <w:pPr>
      <w:framePr w:w="851" w:h="851" w:hRule="exact" w:hSpace="284" w:wrap="around" w:vAnchor="text" w:hAnchor="page" w:y="1"/>
      <w:spacing w:line="240" w:lineRule="auto"/>
    </w:pPr>
    <w:rPr>
      <w:i/>
      <w:sz w:val="20"/>
    </w:rPr>
  </w:style>
  <w:style w:type="numbering" w:customStyle="1" w:styleId="GliederungNummerierung">
    <w:name w:val="GliederungNummerierung"/>
    <w:uiPriority w:val="99"/>
    <w:rsid w:val="00D253F1"/>
    <w:pPr>
      <w:numPr>
        <w:numId w:val="1"/>
      </w:numPr>
    </w:pPr>
  </w:style>
  <w:style w:type="paragraph" w:customStyle="1" w:styleId="GliederungmitNummerierung">
    <w:name w:val="Gliederung mit Nummerierung"/>
    <w:basedOn w:val="Listenabsatz"/>
    <w:link w:val="GliederungmitNummerierungZchn"/>
    <w:semiHidden/>
    <w:qFormat/>
    <w:rsid w:val="00D253F1"/>
    <w:pPr>
      <w:numPr>
        <w:numId w:val="11"/>
      </w:numPr>
    </w:pPr>
  </w:style>
  <w:style w:type="numbering" w:customStyle="1" w:styleId="GliederungAufzhlung">
    <w:name w:val="GliederungAufzählung"/>
    <w:uiPriority w:val="99"/>
    <w:rsid w:val="00D253F1"/>
    <w:pPr>
      <w:numPr>
        <w:numId w:val="2"/>
      </w:numPr>
    </w:pPr>
  </w:style>
  <w:style w:type="character" w:customStyle="1" w:styleId="GliederungmitNummerierungZchn">
    <w:name w:val="Gliederung mit Nummerierung Zchn"/>
    <w:basedOn w:val="Absatz-Standardschriftart"/>
    <w:link w:val="GliederungmitNummerierung"/>
    <w:semiHidden/>
    <w:rsid w:val="00746062"/>
    <w:rPr>
      <w:rFonts w:ascii="Arial" w:hAnsi="Arial" w:cs="Times New Roman"/>
      <w:szCs w:val="20"/>
      <w:lang w:eastAsia="de-DE"/>
    </w:rPr>
  </w:style>
  <w:style w:type="paragraph" w:styleId="Listenabsatz">
    <w:name w:val="List Paragraph"/>
    <w:basedOn w:val="Standard"/>
    <w:link w:val="ListenabsatzZchn"/>
    <w:uiPriority w:val="34"/>
    <w:semiHidden/>
    <w:qFormat/>
    <w:rsid w:val="00D253F1"/>
    <w:pPr>
      <w:ind w:left="720"/>
      <w:contextualSpacing/>
    </w:pPr>
  </w:style>
  <w:style w:type="paragraph" w:customStyle="1" w:styleId="GliederungmitAufzhlung">
    <w:name w:val="Gliederung mit Aufzählung"/>
    <w:basedOn w:val="Listenabsatz"/>
    <w:link w:val="GliederungmitAufzhlungZchn"/>
    <w:semiHidden/>
    <w:qFormat/>
    <w:rsid w:val="00D253F1"/>
    <w:pPr>
      <w:numPr>
        <w:numId w:val="12"/>
      </w:numPr>
    </w:pPr>
  </w:style>
  <w:style w:type="character" w:customStyle="1" w:styleId="ListenabsatzZchn">
    <w:name w:val="Listenabsatz Zchn"/>
    <w:basedOn w:val="Absatz-Standardschriftart"/>
    <w:link w:val="Listenabsatz"/>
    <w:uiPriority w:val="34"/>
    <w:semiHidden/>
    <w:rsid w:val="00D253F1"/>
    <w:rPr>
      <w:rFonts w:ascii="Arial" w:eastAsia="Times New Roman" w:hAnsi="Arial" w:cs="Times New Roman"/>
      <w:szCs w:val="20"/>
      <w:lang w:eastAsia="de-DE"/>
    </w:rPr>
  </w:style>
  <w:style w:type="character" w:customStyle="1" w:styleId="GliederungmitAufzhlungZchn">
    <w:name w:val="Gliederung mit Aufzählung Zchn"/>
    <w:basedOn w:val="ListenabsatzZchn"/>
    <w:link w:val="GliederungmitAufzhlung"/>
    <w:semiHidden/>
    <w:rsid w:val="00746062"/>
    <w:rPr>
      <w:rFonts w:ascii="Arial" w:eastAsia="Times New Roman" w:hAnsi="Arial" w:cs="Times New Roman"/>
      <w:szCs w:val="20"/>
      <w:lang w:eastAsia="de-DE"/>
    </w:rPr>
  </w:style>
  <w:style w:type="character" w:customStyle="1" w:styleId="berschrift1Zchn">
    <w:name w:val="Überschrift 1 Zchn"/>
    <w:basedOn w:val="Absatz-Standardschriftart"/>
    <w:link w:val="berschrift1"/>
    <w:uiPriority w:val="9"/>
    <w:rsid w:val="00074FAE"/>
    <w:rPr>
      <w:rFonts w:asciiTheme="majorHAnsi" w:eastAsiaTheme="minorHAnsi" w:hAnsiTheme="majorHAnsi"/>
      <w:b/>
      <w:color w:val="0062A1"/>
      <w:sz w:val="36"/>
      <w:szCs w:val="20"/>
      <w:lang w:eastAsia="de-DE"/>
    </w:rPr>
  </w:style>
  <w:style w:type="character" w:customStyle="1" w:styleId="berschrift2Zchn">
    <w:name w:val="Überschrift 2 Zchn"/>
    <w:basedOn w:val="Absatz-Standardschriftart"/>
    <w:link w:val="berschrift2"/>
    <w:uiPriority w:val="9"/>
    <w:rsid w:val="00074FAE"/>
    <w:rPr>
      <w:rFonts w:asciiTheme="majorHAnsi" w:eastAsiaTheme="minorHAnsi" w:hAnsiTheme="majorHAnsi"/>
      <w:b/>
      <w:sz w:val="32"/>
      <w:szCs w:val="20"/>
      <w:lang w:eastAsia="de-DE"/>
    </w:rPr>
  </w:style>
  <w:style w:type="character" w:customStyle="1" w:styleId="berschrift3Zchn">
    <w:name w:val="Überschrift 3 Zchn"/>
    <w:basedOn w:val="Absatz-Standardschriftart"/>
    <w:link w:val="berschrift3"/>
    <w:uiPriority w:val="2"/>
    <w:rsid w:val="00074FAE"/>
    <w:rPr>
      <w:rFonts w:asciiTheme="majorHAnsi" w:eastAsiaTheme="minorHAnsi" w:hAnsiTheme="majorHAnsi"/>
      <w:sz w:val="32"/>
      <w:szCs w:val="20"/>
      <w:lang w:eastAsia="de-DE"/>
    </w:rPr>
  </w:style>
  <w:style w:type="character" w:customStyle="1" w:styleId="berschrift4Zchn">
    <w:name w:val="Überschrift 4 Zchn"/>
    <w:basedOn w:val="Absatz-Standardschriftart"/>
    <w:link w:val="berschrift4"/>
    <w:uiPriority w:val="2"/>
    <w:rsid w:val="00074FAE"/>
    <w:rPr>
      <w:rFonts w:asciiTheme="majorHAnsi" w:eastAsiaTheme="minorHAnsi" w:hAnsiTheme="majorHAnsi"/>
      <w:b/>
      <w:szCs w:val="20"/>
      <w:lang w:eastAsia="de-DE"/>
    </w:rPr>
  </w:style>
  <w:style w:type="character" w:customStyle="1" w:styleId="berschrift5Zchn">
    <w:name w:val="Überschrift 5 Zchn"/>
    <w:basedOn w:val="Absatz-Standardschriftart"/>
    <w:link w:val="berschrift5"/>
    <w:uiPriority w:val="2"/>
    <w:rsid w:val="00074FAE"/>
    <w:rPr>
      <w:rFonts w:ascii="Arial" w:eastAsiaTheme="minorHAnsi" w:hAnsi="Arial"/>
      <w:b/>
      <w:szCs w:val="20"/>
      <w:lang w:eastAsia="de-DE"/>
    </w:rPr>
  </w:style>
  <w:style w:type="character" w:customStyle="1" w:styleId="berschrift6Zchn">
    <w:name w:val="Überschrift 6 Zchn"/>
    <w:basedOn w:val="Absatz-Standardschriftart"/>
    <w:link w:val="berschrift6"/>
    <w:uiPriority w:val="9"/>
    <w:semiHidden/>
    <w:rsid w:val="00D253F1"/>
    <w:rPr>
      <w:rFonts w:asciiTheme="majorHAnsi" w:eastAsiaTheme="majorEastAsia" w:hAnsiTheme="majorHAnsi" w:cstheme="majorBidi"/>
      <w:color w:val="003050" w:themeColor="accent1" w:themeShade="7F"/>
      <w:szCs w:val="20"/>
      <w:lang w:eastAsia="de-DE"/>
    </w:rPr>
  </w:style>
  <w:style w:type="character" w:customStyle="1" w:styleId="berschrift7Zchn">
    <w:name w:val="Überschrift 7 Zchn"/>
    <w:basedOn w:val="Absatz-Standardschriftart"/>
    <w:link w:val="berschrift7"/>
    <w:uiPriority w:val="9"/>
    <w:semiHidden/>
    <w:rsid w:val="00D253F1"/>
    <w:rPr>
      <w:rFonts w:asciiTheme="majorHAnsi" w:eastAsiaTheme="majorEastAsia" w:hAnsiTheme="majorHAnsi" w:cstheme="majorBidi"/>
      <w:i/>
      <w:iCs/>
      <w:color w:val="003050" w:themeColor="accent1" w:themeShade="7F"/>
      <w:szCs w:val="20"/>
      <w:lang w:eastAsia="de-DE"/>
    </w:rPr>
  </w:style>
  <w:style w:type="character" w:customStyle="1" w:styleId="berschrift8Zchn">
    <w:name w:val="Überschrift 8 Zchn"/>
    <w:basedOn w:val="Absatz-Standardschriftart"/>
    <w:link w:val="berschrift8"/>
    <w:uiPriority w:val="9"/>
    <w:semiHidden/>
    <w:rsid w:val="00D253F1"/>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D253F1"/>
    <w:rPr>
      <w:rFonts w:asciiTheme="majorHAnsi" w:eastAsiaTheme="majorEastAsia" w:hAnsiTheme="majorHAnsi" w:cstheme="majorBidi"/>
      <w:i/>
      <w:iCs/>
      <w:color w:val="272727" w:themeColor="text1" w:themeTint="D8"/>
      <w:sz w:val="21"/>
      <w:szCs w:val="21"/>
      <w:lang w:eastAsia="de-DE"/>
    </w:rPr>
  </w:style>
  <w:style w:type="paragraph" w:styleId="Verzeichnis1">
    <w:name w:val="toc 1"/>
    <w:basedOn w:val="Standard"/>
    <w:next w:val="Standard"/>
    <w:autoRedefine/>
    <w:uiPriority w:val="39"/>
    <w:rsid w:val="00D253F1"/>
    <w:pPr>
      <w:tabs>
        <w:tab w:val="left" w:pos="794"/>
        <w:tab w:val="right" w:leader="dot" w:pos="9071"/>
      </w:tabs>
      <w:spacing w:before="120" w:after="120" w:line="240" w:lineRule="auto"/>
      <w:ind w:left="794" w:right="851" w:hanging="794"/>
    </w:pPr>
    <w:rPr>
      <w:rFonts w:eastAsiaTheme="minorHAnsi" w:cstheme="minorBidi"/>
      <w:b/>
      <w:noProof/>
      <w:szCs w:val="24"/>
    </w:rPr>
  </w:style>
  <w:style w:type="paragraph" w:styleId="Verzeichnis2">
    <w:name w:val="toc 2"/>
    <w:basedOn w:val="Standard"/>
    <w:next w:val="Standard"/>
    <w:autoRedefine/>
    <w:uiPriority w:val="39"/>
    <w:rsid w:val="00D253F1"/>
    <w:pPr>
      <w:tabs>
        <w:tab w:val="left" w:pos="794"/>
        <w:tab w:val="right" w:leader="dot" w:pos="9071"/>
      </w:tabs>
      <w:spacing w:after="60" w:line="240" w:lineRule="auto"/>
      <w:ind w:left="794" w:right="851" w:hanging="794"/>
    </w:pPr>
    <w:rPr>
      <w:rFonts w:eastAsiaTheme="minorHAnsi" w:cstheme="minorBidi"/>
      <w:noProof/>
      <w:szCs w:val="22"/>
    </w:rPr>
  </w:style>
  <w:style w:type="paragraph" w:styleId="Verzeichnis3">
    <w:name w:val="toc 3"/>
    <w:basedOn w:val="Standard"/>
    <w:next w:val="Standard"/>
    <w:autoRedefine/>
    <w:uiPriority w:val="39"/>
    <w:rsid w:val="00D253F1"/>
    <w:pPr>
      <w:tabs>
        <w:tab w:val="left" w:pos="794"/>
        <w:tab w:val="right" w:leader="dot" w:pos="9072"/>
      </w:tabs>
      <w:spacing w:after="60" w:line="240" w:lineRule="auto"/>
      <w:ind w:left="794" w:right="851" w:hanging="794"/>
    </w:pPr>
    <w:rPr>
      <w:rFonts w:eastAsiaTheme="minorHAnsi" w:cstheme="minorBidi"/>
      <w:noProof/>
      <w:sz w:val="20"/>
    </w:rPr>
  </w:style>
  <w:style w:type="paragraph" w:styleId="Verzeichnis4">
    <w:name w:val="toc 4"/>
    <w:basedOn w:val="Standard"/>
    <w:next w:val="Standard"/>
    <w:autoRedefine/>
    <w:uiPriority w:val="39"/>
    <w:rsid w:val="00D253F1"/>
    <w:pPr>
      <w:tabs>
        <w:tab w:val="left" w:pos="794"/>
        <w:tab w:val="right" w:leader="dot" w:pos="9071"/>
      </w:tabs>
      <w:spacing w:after="40" w:line="240" w:lineRule="auto"/>
      <w:ind w:left="794" w:right="851" w:hanging="794"/>
    </w:pPr>
    <w:rPr>
      <w:rFonts w:eastAsiaTheme="minorHAnsi" w:cstheme="minorBidi"/>
      <w:noProof/>
      <w:snapToGrid w:val="0"/>
      <w:sz w:val="18"/>
      <w:szCs w:val="18"/>
    </w:rPr>
  </w:style>
  <w:style w:type="paragraph" w:styleId="Verzeichnis5">
    <w:name w:val="toc 5"/>
    <w:basedOn w:val="Standard"/>
    <w:next w:val="Standard"/>
    <w:autoRedefine/>
    <w:uiPriority w:val="39"/>
    <w:rsid w:val="00D253F1"/>
    <w:pPr>
      <w:tabs>
        <w:tab w:val="left" w:pos="794"/>
        <w:tab w:val="right" w:leader="dot" w:pos="9071"/>
      </w:tabs>
      <w:spacing w:after="40" w:line="240" w:lineRule="auto"/>
      <w:ind w:left="794" w:right="851" w:hanging="794"/>
    </w:pPr>
    <w:rPr>
      <w:rFonts w:eastAsiaTheme="minorHAnsi" w:cstheme="minorBidi"/>
      <w:noProof/>
      <w:sz w:val="18"/>
      <w:szCs w:val="18"/>
    </w:rPr>
  </w:style>
  <w:style w:type="paragraph" w:customStyle="1" w:styleId="AufzhlungSpiegelstrich">
    <w:name w:val="Aufzählung Spiegelstrich"/>
    <w:basedOn w:val="Standard"/>
    <w:qFormat/>
    <w:rsid w:val="00D253F1"/>
    <w:pPr>
      <w:numPr>
        <w:numId w:val="13"/>
      </w:numPr>
      <w:tabs>
        <w:tab w:val="left" w:pos="357"/>
      </w:tabs>
      <w:spacing w:after="240" w:line="240" w:lineRule="auto"/>
    </w:pPr>
    <w:rPr>
      <w:rFonts w:eastAsiaTheme="minorHAnsi" w:cstheme="minorBidi"/>
    </w:rPr>
  </w:style>
  <w:style w:type="paragraph" w:customStyle="1" w:styleId="AufzhlungEbene1">
    <w:name w:val="AufzählungEbene1"/>
    <w:basedOn w:val="Standard"/>
    <w:rsid w:val="00D253F1"/>
    <w:pPr>
      <w:numPr>
        <w:numId w:val="14"/>
      </w:numPr>
    </w:pPr>
    <w:rPr>
      <w:rFonts w:asciiTheme="minorHAnsi" w:eastAsiaTheme="minorHAnsi" w:hAnsiTheme="minorHAnsi" w:cstheme="minorBidi"/>
      <w:szCs w:val="22"/>
      <w:lang w:eastAsia="en-US"/>
    </w:rPr>
  </w:style>
  <w:style w:type="paragraph" w:customStyle="1" w:styleId="AufzhlungEbene2">
    <w:name w:val="AufzählungEbene2"/>
    <w:basedOn w:val="AufzhlungEbene1"/>
    <w:rsid w:val="00D253F1"/>
    <w:pPr>
      <w:numPr>
        <w:ilvl w:val="1"/>
      </w:numPr>
    </w:pPr>
  </w:style>
  <w:style w:type="paragraph" w:customStyle="1" w:styleId="AufzhlungEbene3">
    <w:name w:val="AufzählungEbene3"/>
    <w:basedOn w:val="AufzhlungEbene2"/>
    <w:rsid w:val="00D253F1"/>
    <w:pPr>
      <w:numPr>
        <w:ilvl w:val="2"/>
      </w:numPr>
      <w:tabs>
        <w:tab w:val="left" w:pos="1072"/>
      </w:tabs>
    </w:pPr>
  </w:style>
  <w:style w:type="paragraph" w:customStyle="1" w:styleId="AufzhlungEbene4">
    <w:name w:val="AufzählungEbene4"/>
    <w:basedOn w:val="Standard"/>
    <w:rsid w:val="00D253F1"/>
    <w:pPr>
      <w:numPr>
        <w:ilvl w:val="3"/>
        <w:numId w:val="15"/>
      </w:numPr>
    </w:pPr>
  </w:style>
  <w:style w:type="paragraph" w:customStyle="1" w:styleId="AufzhlungEbene5">
    <w:name w:val="AufzählungEbene5"/>
    <w:basedOn w:val="Standard"/>
    <w:rsid w:val="00D253F1"/>
    <w:pPr>
      <w:numPr>
        <w:ilvl w:val="4"/>
        <w:numId w:val="15"/>
      </w:numPr>
    </w:pPr>
  </w:style>
  <w:style w:type="paragraph" w:styleId="Kopfzeile">
    <w:name w:val="header"/>
    <w:basedOn w:val="Standard"/>
    <w:link w:val="KopfzeileZchn"/>
    <w:rsid w:val="00D253F1"/>
    <w:pPr>
      <w:tabs>
        <w:tab w:val="center" w:pos="4536"/>
        <w:tab w:val="right" w:pos="9072"/>
      </w:tabs>
      <w:spacing w:after="0" w:line="240" w:lineRule="exact"/>
    </w:pPr>
    <w:rPr>
      <w:rFonts w:eastAsiaTheme="minorHAnsi" w:cstheme="minorBidi"/>
      <w:sz w:val="18"/>
    </w:rPr>
  </w:style>
  <w:style w:type="character" w:customStyle="1" w:styleId="KopfzeileZchn">
    <w:name w:val="Kopfzeile Zchn"/>
    <w:basedOn w:val="Absatz-Standardschriftart"/>
    <w:link w:val="Kopfzeile"/>
    <w:rsid w:val="00D253F1"/>
    <w:rPr>
      <w:rFonts w:ascii="Arial" w:hAnsi="Arial"/>
      <w:sz w:val="18"/>
      <w:szCs w:val="20"/>
      <w:lang w:eastAsia="de-DE"/>
    </w:rPr>
  </w:style>
  <w:style w:type="paragraph" w:customStyle="1" w:styleId="Nummerierung10">
    <w:name w:val="Nummerierung 1)"/>
    <w:basedOn w:val="Standard"/>
    <w:qFormat/>
    <w:rsid w:val="00D253F1"/>
    <w:pPr>
      <w:numPr>
        <w:numId w:val="16"/>
      </w:numPr>
      <w:spacing w:after="240" w:line="240" w:lineRule="auto"/>
    </w:pPr>
    <w:rPr>
      <w:rFonts w:eastAsiaTheme="minorHAnsi" w:cstheme="minorBidi"/>
    </w:rPr>
  </w:style>
  <w:style w:type="paragraph" w:customStyle="1" w:styleId="Nummerierung11">
    <w:name w:val="Nummerierung 1."/>
    <w:basedOn w:val="Standard"/>
    <w:qFormat/>
    <w:rsid w:val="00D253F1"/>
    <w:pPr>
      <w:numPr>
        <w:numId w:val="17"/>
      </w:numPr>
      <w:spacing w:after="240" w:line="240" w:lineRule="auto"/>
    </w:pPr>
    <w:rPr>
      <w:rFonts w:eastAsiaTheme="minorHAnsi" w:cstheme="minorBidi"/>
    </w:rPr>
  </w:style>
  <w:style w:type="paragraph" w:customStyle="1" w:styleId="Nummerierunga">
    <w:name w:val="Nummerierung a)"/>
    <w:basedOn w:val="Standard"/>
    <w:qFormat/>
    <w:rsid w:val="00D253F1"/>
    <w:pPr>
      <w:numPr>
        <w:numId w:val="18"/>
      </w:numPr>
      <w:spacing w:after="240" w:line="240" w:lineRule="auto"/>
    </w:pPr>
    <w:rPr>
      <w:rFonts w:eastAsiaTheme="minorHAnsi" w:cstheme="minorBidi"/>
    </w:rPr>
  </w:style>
  <w:style w:type="paragraph" w:customStyle="1" w:styleId="NummerierungI">
    <w:name w:val="Nummerierung I."/>
    <w:basedOn w:val="Standard"/>
    <w:qFormat/>
    <w:rsid w:val="00D253F1"/>
    <w:pPr>
      <w:numPr>
        <w:numId w:val="19"/>
      </w:numPr>
      <w:spacing w:after="240" w:line="240" w:lineRule="auto"/>
    </w:pPr>
    <w:rPr>
      <w:rFonts w:eastAsiaTheme="minorHAnsi" w:cstheme="minorBidi"/>
    </w:rPr>
  </w:style>
  <w:style w:type="paragraph" w:customStyle="1" w:styleId="NummerierungEbene1">
    <w:name w:val="NummerierungEbene1"/>
    <w:basedOn w:val="Standard"/>
    <w:rsid w:val="00D253F1"/>
    <w:pPr>
      <w:numPr>
        <w:numId w:val="20"/>
      </w:numPr>
    </w:pPr>
  </w:style>
  <w:style w:type="paragraph" w:customStyle="1" w:styleId="NummerierungEbene2">
    <w:name w:val="NummerierungEbene2"/>
    <w:basedOn w:val="NummerierungEbene1"/>
    <w:rsid w:val="00D253F1"/>
    <w:pPr>
      <w:numPr>
        <w:ilvl w:val="1"/>
      </w:numPr>
      <w:tabs>
        <w:tab w:val="clear" w:pos="792"/>
        <w:tab w:val="left" w:pos="794"/>
      </w:tabs>
    </w:pPr>
  </w:style>
  <w:style w:type="paragraph" w:customStyle="1" w:styleId="NummerierungEbene3">
    <w:name w:val="NummerierungEbene3"/>
    <w:basedOn w:val="Standard"/>
    <w:rsid w:val="00D253F1"/>
    <w:pPr>
      <w:numPr>
        <w:ilvl w:val="2"/>
        <w:numId w:val="20"/>
      </w:numPr>
    </w:pPr>
  </w:style>
  <w:style w:type="paragraph" w:customStyle="1" w:styleId="NummerierungEbene4">
    <w:name w:val="NummerierungEbene4"/>
    <w:basedOn w:val="Standard"/>
    <w:rsid w:val="00D253F1"/>
    <w:pPr>
      <w:numPr>
        <w:ilvl w:val="3"/>
        <w:numId w:val="20"/>
      </w:numPr>
    </w:pPr>
  </w:style>
  <w:style w:type="paragraph" w:customStyle="1" w:styleId="NummerierungEbene5">
    <w:name w:val="NummerierungEbene5"/>
    <w:basedOn w:val="Standard"/>
    <w:rsid w:val="00D253F1"/>
    <w:pPr>
      <w:numPr>
        <w:ilvl w:val="4"/>
        <w:numId w:val="20"/>
      </w:numPr>
    </w:pPr>
  </w:style>
  <w:style w:type="paragraph" w:customStyle="1" w:styleId="TextinTabelle">
    <w:name w:val="Text in Tabelle"/>
    <w:basedOn w:val="Standard"/>
    <w:rsid w:val="00D253F1"/>
    <w:pPr>
      <w:spacing w:after="0" w:line="240" w:lineRule="auto"/>
    </w:pPr>
    <w:rPr>
      <w:sz w:val="20"/>
    </w:rPr>
  </w:style>
  <w:style w:type="paragraph" w:customStyle="1" w:styleId="berschrift1ohneNummer">
    <w:name w:val="Überschrift 1 ohne Nummer"/>
    <w:basedOn w:val="berschrift1"/>
    <w:next w:val="Standard"/>
    <w:uiPriority w:val="1"/>
    <w:qFormat/>
    <w:rsid w:val="00074FAE"/>
    <w:pPr>
      <w:numPr>
        <w:numId w:val="0"/>
      </w:numPr>
    </w:pPr>
  </w:style>
  <w:style w:type="paragraph" w:customStyle="1" w:styleId="AufzhlungBullett">
    <w:name w:val="Aufzählung Bullett"/>
    <w:basedOn w:val="Standard"/>
    <w:qFormat/>
    <w:rsid w:val="007E198C"/>
    <w:pPr>
      <w:numPr>
        <w:numId w:val="21"/>
      </w:numPr>
      <w:tabs>
        <w:tab w:val="left" w:pos="357"/>
      </w:tabs>
      <w:spacing w:after="240" w:line="240" w:lineRule="auto"/>
      <w:ind w:left="357" w:hanging="357"/>
    </w:pPr>
    <w:rPr>
      <w:rFonts w:eastAsiaTheme="minorHAnsi" w:cstheme="minorBidi"/>
    </w:rPr>
  </w:style>
  <w:style w:type="paragraph" w:styleId="Titel">
    <w:name w:val="Title"/>
    <w:basedOn w:val="Standard"/>
    <w:next w:val="Standard"/>
    <w:link w:val="TitelZchn"/>
    <w:uiPriority w:val="10"/>
    <w:semiHidden/>
    <w:qFormat/>
    <w:rsid w:val="00EE5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EE5EF4"/>
    <w:rPr>
      <w:rFonts w:asciiTheme="majorHAnsi" w:eastAsiaTheme="majorEastAsia" w:hAnsiTheme="majorHAnsi" w:cstheme="majorBidi"/>
      <w:spacing w:val="-10"/>
      <w:kern w:val="28"/>
      <w:sz w:val="56"/>
      <w:szCs w:val="56"/>
      <w:lang w:eastAsia="de-DE"/>
    </w:rPr>
  </w:style>
  <w:style w:type="paragraph" w:styleId="Untertitel">
    <w:name w:val="Subtitle"/>
    <w:basedOn w:val="Standard"/>
    <w:next w:val="Standard"/>
    <w:link w:val="UntertitelZchn"/>
    <w:uiPriority w:val="11"/>
    <w:semiHidden/>
    <w:qFormat/>
    <w:rsid w:val="00EE5E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semiHidden/>
    <w:rsid w:val="00EE5EF4"/>
    <w:rPr>
      <w:rFonts w:eastAsiaTheme="majorEastAsia" w:cstheme="majorBidi"/>
      <w:color w:val="595959" w:themeColor="text1" w:themeTint="A6"/>
      <w:spacing w:val="15"/>
      <w:sz w:val="28"/>
      <w:szCs w:val="28"/>
      <w:lang w:eastAsia="de-DE"/>
    </w:rPr>
  </w:style>
  <w:style w:type="paragraph" w:styleId="Zitat">
    <w:name w:val="Quote"/>
    <w:basedOn w:val="Standard"/>
    <w:next w:val="Standard"/>
    <w:link w:val="ZitatZchn"/>
    <w:uiPriority w:val="29"/>
    <w:semiHidden/>
    <w:qFormat/>
    <w:rsid w:val="00EE5EF4"/>
    <w:pPr>
      <w:spacing w:before="160" w:after="160"/>
      <w:jc w:val="center"/>
    </w:pPr>
    <w:rPr>
      <w:i/>
      <w:iCs/>
      <w:color w:val="404040" w:themeColor="text1" w:themeTint="BF"/>
    </w:rPr>
  </w:style>
  <w:style w:type="character" w:customStyle="1" w:styleId="ZitatZchn">
    <w:name w:val="Zitat Zchn"/>
    <w:basedOn w:val="Absatz-Standardschriftart"/>
    <w:link w:val="Zitat"/>
    <w:uiPriority w:val="29"/>
    <w:semiHidden/>
    <w:rsid w:val="00EE5EF4"/>
    <w:rPr>
      <w:rFonts w:ascii="Arial" w:hAnsi="Arial" w:cs="Times New Roman"/>
      <w:i/>
      <w:iCs/>
      <w:color w:val="404040" w:themeColor="text1" w:themeTint="BF"/>
      <w:szCs w:val="20"/>
      <w:lang w:eastAsia="de-DE"/>
    </w:rPr>
  </w:style>
  <w:style w:type="character" w:styleId="IntensiveHervorhebung">
    <w:name w:val="Intense Emphasis"/>
    <w:basedOn w:val="Absatz-Standardschriftart"/>
    <w:uiPriority w:val="21"/>
    <w:semiHidden/>
    <w:qFormat/>
    <w:rsid w:val="00EE5EF4"/>
    <w:rPr>
      <w:i/>
      <w:iCs/>
      <w:color w:val="004978" w:themeColor="accent1" w:themeShade="BF"/>
    </w:rPr>
  </w:style>
  <w:style w:type="paragraph" w:styleId="IntensivesZitat">
    <w:name w:val="Intense Quote"/>
    <w:basedOn w:val="Standard"/>
    <w:next w:val="Standard"/>
    <w:link w:val="IntensivesZitatZchn"/>
    <w:uiPriority w:val="30"/>
    <w:semiHidden/>
    <w:qFormat/>
    <w:rsid w:val="00EE5EF4"/>
    <w:pPr>
      <w:pBdr>
        <w:top w:val="single" w:sz="4" w:space="10" w:color="004978" w:themeColor="accent1" w:themeShade="BF"/>
        <w:bottom w:val="single" w:sz="4" w:space="10" w:color="004978" w:themeColor="accent1" w:themeShade="BF"/>
      </w:pBdr>
      <w:spacing w:before="360" w:after="360"/>
      <w:ind w:left="864" w:right="864"/>
      <w:jc w:val="center"/>
    </w:pPr>
    <w:rPr>
      <w:i/>
      <w:iCs/>
      <w:color w:val="004978" w:themeColor="accent1" w:themeShade="BF"/>
    </w:rPr>
  </w:style>
  <w:style w:type="character" w:customStyle="1" w:styleId="IntensivesZitatZchn">
    <w:name w:val="Intensives Zitat Zchn"/>
    <w:basedOn w:val="Absatz-Standardschriftart"/>
    <w:link w:val="IntensivesZitat"/>
    <w:uiPriority w:val="30"/>
    <w:semiHidden/>
    <w:rsid w:val="00EE5EF4"/>
    <w:rPr>
      <w:rFonts w:ascii="Arial" w:hAnsi="Arial" w:cs="Times New Roman"/>
      <w:i/>
      <w:iCs/>
      <w:color w:val="004978" w:themeColor="accent1" w:themeShade="BF"/>
      <w:szCs w:val="20"/>
      <w:lang w:eastAsia="de-DE"/>
    </w:rPr>
  </w:style>
  <w:style w:type="character" w:styleId="IntensiverVerweis">
    <w:name w:val="Intense Reference"/>
    <w:basedOn w:val="Absatz-Standardschriftart"/>
    <w:uiPriority w:val="32"/>
    <w:semiHidden/>
    <w:qFormat/>
    <w:rsid w:val="00EE5EF4"/>
    <w:rPr>
      <w:b/>
      <w:bCs/>
      <w:smallCaps/>
      <w:color w:val="004978" w:themeColor="accent1" w:themeShade="BF"/>
      <w:spacing w:val="5"/>
    </w:rPr>
  </w:style>
  <w:style w:type="paragraph" w:customStyle="1" w:styleId="InvisibleLine">
    <w:name w:val="InvisibleLine"/>
    <w:basedOn w:val="KeinLeerraum"/>
    <w:rsid w:val="00EE5EF4"/>
    <w:pPr>
      <w:spacing w:line="14" w:lineRule="auto"/>
    </w:pPr>
    <w:rPr>
      <w:sz w:val="2"/>
    </w:rPr>
  </w:style>
  <w:style w:type="paragraph" w:customStyle="1" w:styleId="Anhangberschrift1">
    <w:name w:val="Anhang Überschrift 1"/>
    <w:basedOn w:val="berschrift1"/>
    <w:uiPriority w:val="4"/>
    <w:semiHidden/>
    <w:qFormat/>
    <w:rsid w:val="00EE5EF4"/>
    <w:pPr>
      <w:keepLines w:val="0"/>
      <w:numPr>
        <w:numId w:val="23"/>
      </w:numPr>
    </w:pPr>
  </w:style>
  <w:style w:type="paragraph" w:customStyle="1" w:styleId="Anhangberschrift2">
    <w:name w:val="Anhang Überschrift 2"/>
    <w:basedOn w:val="berschrift2"/>
    <w:uiPriority w:val="4"/>
    <w:semiHidden/>
    <w:qFormat/>
    <w:rsid w:val="00EE5EF4"/>
    <w:pPr>
      <w:numPr>
        <w:numId w:val="23"/>
      </w:numPr>
    </w:pPr>
  </w:style>
  <w:style w:type="paragraph" w:customStyle="1" w:styleId="Anhangberschrift3">
    <w:name w:val="Anhang Überschrift 3"/>
    <w:basedOn w:val="berschrift3"/>
    <w:uiPriority w:val="4"/>
    <w:semiHidden/>
    <w:qFormat/>
    <w:rsid w:val="00EE5EF4"/>
    <w:pPr>
      <w:numPr>
        <w:numId w:val="23"/>
      </w:numPr>
    </w:pPr>
  </w:style>
  <w:style w:type="paragraph" w:customStyle="1" w:styleId="Anhangberschrift4">
    <w:name w:val="Anhang Überschrift 4"/>
    <w:basedOn w:val="berschrift4"/>
    <w:uiPriority w:val="4"/>
    <w:semiHidden/>
    <w:qFormat/>
    <w:rsid w:val="00EE5EF4"/>
    <w:pPr>
      <w:numPr>
        <w:numId w:val="23"/>
      </w:numPr>
    </w:pPr>
  </w:style>
  <w:style w:type="paragraph" w:customStyle="1" w:styleId="Anhangberschrift5">
    <w:name w:val="Anhang Überschrift 5"/>
    <w:basedOn w:val="berschrift5"/>
    <w:uiPriority w:val="4"/>
    <w:semiHidden/>
    <w:qFormat/>
    <w:rsid w:val="00EE5EF4"/>
    <w:pPr>
      <w:numPr>
        <w:numId w:val="23"/>
      </w:numPr>
    </w:pPr>
  </w:style>
  <w:style w:type="paragraph" w:styleId="Textkrper">
    <w:name w:val="Body Text"/>
    <w:basedOn w:val="Standard"/>
    <w:link w:val="TextkrperZchn"/>
    <w:uiPriority w:val="99"/>
    <w:rsid w:val="00EE5EF4"/>
  </w:style>
  <w:style w:type="character" w:customStyle="1" w:styleId="TextkrperZchn">
    <w:name w:val="Textkörper Zchn"/>
    <w:basedOn w:val="Absatz-Standardschriftart"/>
    <w:link w:val="Textkrper"/>
    <w:uiPriority w:val="99"/>
    <w:rsid w:val="00EE5EF4"/>
    <w:rPr>
      <w:rFonts w:ascii="Arial" w:hAnsi="Arial" w:cs="Times New Roman"/>
      <w:szCs w:val="20"/>
      <w:lang w:eastAsia="de-DE"/>
    </w:rPr>
  </w:style>
  <w:style w:type="paragraph" w:styleId="Kommentartext">
    <w:name w:val="annotation text"/>
    <w:basedOn w:val="Standard"/>
    <w:link w:val="KommentartextZchn"/>
    <w:uiPriority w:val="99"/>
    <w:rsid w:val="00EE5EF4"/>
    <w:rPr>
      <w:sz w:val="20"/>
    </w:rPr>
  </w:style>
  <w:style w:type="character" w:customStyle="1" w:styleId="KommentartextZchn">
    <w:name w:val="Kommentartext Zchn"/>
    <w:basedOn w:val="Absatz-Standardschriftart"/>
    <w:link w:val="Kommentartext"/>
    <w:uiPriority w:val="99"/>
    <w:rsid w:val="00EE5EF4"/>
    <w:rPr>
      <w:rFonts w:ascii="Arial" w:hAnsi="Arial" w:cs="Times New Roman"/>
      <w:sz w:val="20"/>
      <w:szCs w:val="20"/>
      <w:lang w:eastAsia="de-DE"/>
    </w:rPr>
  </w:style>
  <w:style w:type="character" w:styleId="Kommentarzeichen">
    <w:name w:val="annotation reference"/>
    <w:basedOn w:val="Absatz-Standardschriftart"/>
    <w:uiPriority w:val="99"/>
    <w:semiHidden/>
    <w:rsid w:val="00EE5EF4"/>
    <w:rPr>
      <w:sz w:val="16"/>
      <w:szCs w:val="16"/>
    </w:rPr>
  </w:style>
  <w:style w:type="paragraph" w:customStyle="1" w:styleId="StandardOhneAbsatz">
    <w:name w:val="StandardOhneAbsatz"/>
    <w:basedOn w:val="Standard"/>
    <w:semiHidden/>
    <w:qFormat/>
    <w:rsid w:val="00EE5EF4"/>
    <w:pPr>
      <w:spacing w:after="0" w:line="240" w:lineRule="auto"/>
    </w:pPr>
    <w:rPr>
      <w:rFonts w:asciiTheme="minorHAnsi" w:hAnsiTheme="minorHAnsi"/>
    </w:rPr>
  </w:style>
  <w:style w:type="paragraph" w:customStyle="1" w:styleId="TableBody">
    <w:name w:val="Table Body"/>
    <w:basedOn w:val="Textkrper"/>
    <w:rsid w:val="00EE5EF4"/>
    <w:pPr>
      <w:spacing w:after="60" w:line="254" w:lineRule="auto"/>
    </w:pPr>
    <w:rPr>
      <w:rFonts w:eastAsiaTheme="minorEastAsia" w:cstheme="minorBidi"/>
      <w:color w:val="1F1F1F"/>
      <w:sz w:val="19"/>
      <w:szCs w:val="22"/>
      <w:lang w:val="en-US" w:eastAsia="en-US"/>
    </w:rPr>
  </w:style>
  <w:style w:type="paragraph" w:customStyle="1" w:styleId="SmallNote">
    <w:name w:val="Small Note"/>
    <w:basedOn w:val="Textkrper"/>
    <w:rsid w:val="00EE5EF4"/>
    <w:pPr>
      <w:spacing w:after="100" w:line="269" w:lineRule="auto"/>
    </w:pPr>
    <w:rPr>
      <w:rFonts w:eastAsiaTheme="minorEastAsia" w:cstheme="minorBidi"/>
      <w:color w:val="666666"/>
      <w:sz w:val="18"/>
      <w:szCs w:val="22"/>
      <w:lang w:val="en-US" w:eastAsia="en-US"/>
    </w:rPr>
  </w:style>
  <w:style w:type="paragraph" w:customStyle="1" w:styleId="Clause">
    <w:name w:val="Clause"/>
    <w:basedOn w:val="Textkrper"/>
    <w:rsid w:val="00EE5EF4"/>
    <w:pPr>
      <w:tabs>
        <w:tab w:val="left" w:pos="329"/>
      </w:tabs>
      <w:spacing w:after="100" w:line="269" w:lineRule="auto"/>
      <w:ind w:left="329" w:hanging="329"/>
    </w:pPr>
    <w:rPr>
      <w:rFonts w:eastAsiaTheme="minorEastAsia" w:cstheme="minorBidi"/>
      <w:color w:val="1F1F1F"/>
      <w:sz w:val="21"/>
      <w:szCs w:val="22"/>
      <w:lang w:val="en-US" w:eastAsia="en-US"/>
    </w:rPr>
  </w:style>
  <w:style w:type="paragraph" w:customStyle="1" w:styleId="Subclause">
    <w:name w:val="Subclause"/>
    <w:basedOn w:val="Textkrper"/>
    <w:rsid w:val="00EE5EF4"/>
    <w:pPr>
      <w:tabs>
        <w:tab w:val="left" w:pos="397"/>
      </w:tabs>
      <w:spacing w:after="100" w:line="269" w:lineRule="auto"/>
      <w:ind w:left="397" w:hanging="397"/>
    </w:pPr>
    <w:rPr>
      <w:rFonts w:eastAsiaTheme="minorEastAsia" w:cstheme="minorBidi"/>
      <w:color w:val="1F1F1F"/>
      <w:sz w:val="21"/>
      <w:szCs w:val="22"/>
      <w:lang w:val="en-US" w:eastAsia="en-US"/>
    </w:rPr>
  </w:style>
  <w:style w:type="paragraph" w:styleId="KeinLeerraum">
    <w:name w:val="No Spacing"/>
    <w:uiPriority w:val="1"/>
    <w:semiHidden/>
    <w:rsid w:val="00EE5EF4"/>
    <w:pPr>
      <w:spacing w:after="0" w:line="240" w:lineRule="auto"/>
    </w:pPr>
    <w:rPr>
      <w:rFonts w:ascii="Arial" w:hAnsi="Arial" w:cs="Times New Roman"/>
      <w:szCs w:val="20"/>
      <w:lang w:eastAsia="de-DE"/>
    </w:rPr>
  </w:style>
  <w:style w:type="paragraph" w:styleId="berarbeitung">
    <w:name w:val="Revision"/>
    <w:hidden/>
    <w:uiPriority w:val="99"/>
    <w:semiHidden/>
    <w:rsid w:val="00252AB9"/>
    <w:pPr>
      <w:spacing w:after="0" w:line="240" w:lineRule="auto"/>
    </w:pPr>
    <w:rPr>
      <w:rFonts w:ascii="Arial" w:hAnsi="Arial" w:cs="Times New Roman"/>
      <w:szCs w:val="20"/>
      <w:lang w:eastAsia="de-DE"/>
    </w:rPr>
  </w:style>
  <w:style w:type="paragraph" w:styleId="Kommentarthema">
    <w:name w:val="annotation subject"/>
    <w:basedOn w:val="Kommentartext"/>
    <w:next w:val="Kommentartext"/>
    <w:link w:val="KommentarthemaZchn"/>
    <w:uiPriority w:val="99"/>
    <w:semiHidden/>
    <w:unhideWhenUsed/>
    <w:rsid w:val="00FC07EB"/>
    <w:pPr>
      <w:spacing w:line="240" w:lineRule="auto"/>
    </w:pPr>
    <w:rPr>
      <w:b/>
      <w:bCs/>
    </w:rPr>
  </w:style>
  <w:style w:type="character" w:customStyle="1" w:styleId="KommentarthemaZchn">
    <w:name w:val="Kommentarthema Zchn"/>
    <w:basedOn w:val="KommentartextZchn"/>
    <w:link w:val="Kommentarthema"/>
    <w:uiPriority w:val="99"/>
    <w:semiHidden/>
    <w:rsid w:val="00FC07EB"/>
    <w:rPr>
      <w:rFonts w:ascii="Arial" w:hAnsi="Arial" w:cs="Times New Roman"/>
      <w:b/>
      <w:bCs/>
      <w:sz w:val="20"/>
      <w:szCs w:val="20"/>
      <w:lang w:eastAsia="de-DE"/>
    </w:rPr>
  </w:style>
  <w:style w:type="paragraph" w:customStyle="1" w:styleId="pf0">
    <w:name w:val="pf0"/>
    <w:basedOn w:val="Standard"/>
    <w:rsid w:val="005C759D"/>
    <w:pPr>
      <w:spacing w:before="100" w:beforeAutospacing="1" w:after="100" w:afterAutospacing="1" w:line="240" w:lineRule="auto"/>
    </w:pPr>
    <w:rPr>
      <w:rFonts w:ascii="Times New Roman" w:hAnsi="Times New Roman"/>
      <w:sz w:val="24"/>
      <w:szCs w:val="24"/>
    </w:rPr>
  </w:style>
  <w:style w:type="character" w:customStyle="1" w:styleId="cf01">
    <w:name w:val="cf01"/>
    <w:basedOn w:val="Absatz-Standardschriftart"/>
    <w:rsid w:val="005C759D"/>
    <w:rPr>
      <w:rFonts w:ascii="Segoe UI" w:hAnsi="Segoe UI" w:cs="Segoe UI" w:hint="default"/>
      <w:sz w:val="18"/>
      <w:szCs w:val="18"/>
    </w:rPr>
  </w:style>
  <w:style w:type="paragraph" w:styleId="StandardWeb">
    <w:name w:val="Normal (Web)"/>
    <w:basedOn w:val="Standard"/>
    <w:uiPriority w:val="99"/>
    <w:semiHidden/>
    <w:unhideWhenUsed/>
    <w:rsid w:val="00AE0BC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tmp"/><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E/TXT/HTML/?uri=CELEX:32015L2366" TargetMode="External"/></Relationships>
</file>

<file path=word/theme/theme1.xml><?xml version="1.0" encoding="utf-8"?>
<a:theme xmlns:a="http://schemas.openxmlformats.org/drawingml/2006/main" name="BBk_Farbe">
  <a:themeElements>
    <a:clrScheme name="Farbe3_Neu">
      <a:dk1>
        <a:srgbClr val="000000"/>
      </a:dk1>
      <a:lt1>
        <a:srgbClr val="FFFFFF"/>
      </a:lt1>
      <a:dk2>
        <a:srgbClr val="000000"/>
      </a:dk2>
      <a:lt2>
        <a:srgbClr val="9FA2A4"/>
      </a:lt2>
      <a:accent1>
        <a:srgbClr val="0062A1"/>
      </a:accent1>
      <a:accent2>
        <a:srgbClr val="96BF0D"/>
      </a:accent2>
      <a:accent3>
        <a:srgbClr val="77B5C2"/>
      </a:accent3>
      <a:accent4>
        <a:srgbClr val="FBBD1A"/>
      </a:accent4>
      <a:accent5>
        <a:srgbClr val="9C9E9F"/>
      </a:accent5>
      <a:accent6>
        <a:srgbClr val="E52B38"/>
      </a:accent6>
      <a:hlink>
        <a:srgbClr val="7C93C3"/>
      </a:hlink>
      <a:folHlink>
        <a:srgbClr val="B0BEDB"/>
      </a:folHlink>
    </a:clrScheme>
    <a:fontScheme name="Bundesbank1">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lumMod val="40000"/>
            <a:lumOff val="60000"/>
          </a:schemeClr>
        </a:solidFill>
        <a:ln>
          <a:solidFill>
            <a:schemeClr val="accent1">
              <a:lumMod val="75000"/>
            </a:schemeClr>
          </a:solidFill>
        </a:ln>
      </a:spPr>
      <a:bodyPr rtlCol="0" anchor="ctr"/>
      <a:lstStyle>
        <a:defPPr algn="ctr">
          <a:defRPr sz="800"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247CF-056F-4746-A966-BAE3E3DF6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7800</Words>
  <Characters>49146</Characters>
  <Application>Microsoft Office Word</Application>
  <DocSecurity>0</DocSecurity>
  <Lines>409</Lines>
  <Paragraphs>113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Arzt Alexander</cp:lastModifiedBy>
  <cp:revision>36</cp:revision>
  <dcterms:created xsi:type="dcterms:W3CDTF">2026-10-01T14:00:00Z</dcterms:created>
  <dcterms:modified xsi:type="dcterms:W3CDTF">2026-10-09T08:50:00Z</dcterms:modified>
</cp:coreProperties>
</file>